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3" w:rsidRPr="00C25EC0" w:rsidRDefault="007D3671" w:rsidP="005328C7">
      <w:pPr>
        <w:rPr>
          <w:b/>
          <w:sz w:val="28"/>
          <w:szCs w:val="28"/>
        </w:rPr>
      </w:pPr>
      <w:bookmarkStart w:id="0" w:name="_GoBack"/>
      <w:bookmarkEnd w:id="0"/>
      <w:r w:rsidRPr="00C25EC0">
        <w:rPr>
          <w:b/>
          <w:sz w:val="28"/>
          <w:szCs w:val="28"/>
        </w:rPr>
        <w:t>Möglicher Erwartungshorizont</w:t>
      </w:r>
      <w:r w:rsidR="00F82449" w:rsidRPr="00C25EC0">
        <w:rPr>
          <w:b/>
          <w:sz w:val="28"/>
          <w:szCs w:val="28"/>
        </w:rPr>
        <w:t xml:space="preserve"> zu Expertengruppen</w:t>
      </w:r>
      <w:r w:rsidR="005328C7" w:rsidRPr="00C25EC0">
        <w:rPr>
          <w:b/>
          <w:sz w:val="28"/>
          <w:szCs w:val="28"/>
        </w:rPr>
        <w:t xml:space="preserve">: </w:t>
      </w:r>
      <w:r w:rsidR="003011A3" w:rsidRPr="00C25EC0">
        <w:rPr>
          <w:b/>
          <w:sz w:val="28"/>
          <w:szCs w:val="28"/>
        </w:rPr>
        <w:t>Was tun im Trauerfall?</w:t>
      </w:r>
    </w:p>
    <w:tbl>
      <w:tblPr>
        <w:tblStyle w:val="Tabellenraster"/>
        <w:tblW w:w="14851" w:type="dxa"/>
        <w:tblLook w:val="04A0" w:firstRow="1" w:lastRow="0" w:firstColumn="1" w:lastColumn="0" w:noHBand="0" w:noVBand="1"/>
      </w:tblPr>
      <w:tblGrid>
        <w:gridCol w:w="5070"/>
        <w:gridCol w:w="4962"/>
        <w:gridCol w:w="4819"/>
      </w:tblGrid>
      <w:tr w:rsidR="00F82449" w:rsidTr="00F82449">
        <w:tc>
          <w:tcPr>
            <w:tcW w:w="5070" w:type="dxa"/>
          </w:tcPr>
          <w:p w:rsidR="005328C7" w:rsidRPr="00C25EC0" w:rsidRDefault="005328C7">
            <w:pPr>
              <w:rPr>
                <w:b/>
                <w:sz w:val="28"/>
                <w:szCs w:val="28"/>
              </w:rPr>
            </w:pPr>
          </w:p>
          <w:p w:rsidR="005328C7" w:rsidRDefault="00F82449" w:rsidP="00C25EC0">
            <w:pPr>
              <w:rPr>
                <w:b/>
                <w:sz w:val="28"/>
                <w:szCs w:val="28"/>
              </w:rPr>
            </w:pPr>
            <w:r w:rsidRPr="00C25EC0">
              <w:rPr>
                <w:b/>
                <w:sz w:val="28"/>
                <w:szCs w:val="28"/>
              </w:rPr>
              <w:t>Expertengruppe „Rechtliches“</w:t>
            </w:r>
          </w:p>
          <w:p w:rsidR="0040170D" w:rsidRPr="00C25EC0" w:rsidRDefault="0040170D" w:rsidP="00C25EC0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328C7" w:rsidRPr="00C25EC0" w:rsidRDefault="005328C7">
            <w:pPr>
              <w:rPr>
                <w:b/>
                <w:sz w:val="28"/>
                <w:szCs w:val="28"/>
              </w:rPr>
            </w:pPr>
          </w:p>
          <w:p w:rsidR="00F82449" w:rsidRPr="00C25EC0" w:rsidRDefault="00F82449">
            <w:pPr>
              <w:rPr>
                <w:b/>
                <w:sz w:val="28"/>
                <w:szCs w:val="28"/>
              </w:rPr>
            </w:pPr>
            <w:r w:rsidRPr="00C25EC0">
              <w:rPr>
                <w:b/>
                <w:sz w:val="28"/>
                <w:szCs w:val="28"/>
              </w:rPr>
              <w:t xml:space="preserve">Expertengruppe „ </w:t>
            </w:r>
            <w:r w:rsidR="005328C7" w:rsidRPr="00C25EC0">
              <w:rPr>
                <w:b/>
                <w:sz w:val="28"/>
                <w:szCs w:val="28"/>
              </w:rPr>
              <w:t>Rituale/</w:t>
            </w:r>
            <w:r w:rsidRPr="00C25EC0">
              <w:rPr>
                <w:b/>
                <w:sz w:val="28"/>
                <w:szCs w:val="28"/>
              </w:rPr>
              <w:t>Traditionen“</w:t>
            </w:r>
          </w:p>
        </w:tc>
        <w:tc>
          <w:tcPr>
            <w:tcW w:w="4819" w:type="dxa"/>
          </w:tcPr>
          <w:p w:rsidR="005328C7" w:rsidRPr="00C25EC0" w:rsidRDefault="005328C7">
            <w:pPr>
              <w:rPr>
                <w:b/>
                <w:sz w:val="28"/>
                <w:szCs w:val="28"/>
              </w:rPr>
            </w:pPr>
          </w:p>
          <w:p w:rsidR="00F82449" w:rsidRPr="00C25EC0" w:rsidRDefault="00F82449">
            <w:pPr>
              <w:rPr>
                <w:b/>
                <w:sz w:val="28"/>
                <w:szCs w:val="28"/>
              </w:rPr>
            </w:pPr>
            <w:r w:rsidRPr="00C25EC0">
              <w:rPr>
                <w:b/>
                <w:sz w:val="28"/>
                <w:szCs w:val="28"/>
              </w:rPr>
              <w:t>Expertengruppe „</w:t>
            </w:r>
            <w:r w:rsidR="005328C7" w:rsidRPr="00C25EC0">
              <w:rPr>
                <w:b/>
                <w:sz w:val="28"/>
                <w:szCs w:val="28"/>
              </w:rPr>
              <w:t xml:space="preserve">Religiös- </w:t>
            </w:r>
            <w:r w:rsidRPr="00C25EC0">
              <w:rPr>
                <w:b/>
                <w:sz w:val="28"/>
                <w:szCs w:val="28"/>
              </w:rPr>
              <w:t>Christliches“</w:t>
            </w:r>
          </w:p>
        </w:tc>
      </w:tr>
      <w:tr w:rsidR="00F82449" w:rsidTr="00F82449">
        <w:tc>
          <w:tcPr>
            <w:tcW w:w="5070" w:type="dxa"/>
          </w:tcPr>
          <w:p w:rsidR="00F82449" w:rsidRPr="0040170D" w:rsidRDefault="00F82449" w:rsidP="0040170D">
            <w:pPr>
              <w:pStyle w:val="Listenabsatz"/>
              <w:rPr>
                <w:color w:val="00B050"/>
              </w:rPr>
            </w:pPr>
          </w:p>
          <w:p w:rsidR="00F82449" w:rsidRPr="007D0977" w:rsidRDefault="00F82449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rPr>
                <w:b/>
              </w:rPr>
              <w:t>Trauerfall zu Hause</w:t>
            </w:r>
            <w:r w:rsidR="0031013F" w:rsidRPr="007D0977">
              <w:t xml:space="preserve">: </w:t>
            </w:r>
            <w:r w:rsidRPr="007D0977">
              <w:t>Arzt rufen, der den Totenschein ausstellt</w:t>
            </w:r>
          </w:p>
          <w:p w:rsidR="0031013F" w:rsidRPr="007D0977" w:rsidRDefault="0031013F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rPr>
                <w:b/>
              </w:rPr>
              <w:t>Trauerfall in einer Einrichtung/einem Krankenhaus</w:t>
            </w:r>
            <w:r w:rsidRPr="007D0977">
              <w:t xml:space="preserve">: Arzt ist </w:t>
            </w:r>
            <w:r w:rsidR="00F6519A" w:rsidRPr="007D0977">
              <w:t>v</w:t>
            </w:r>
            <w:r w:rsidRPr="007D0977">
              <w:t>or</w:t>
            </w:r>
            <w:r w:rsidR="00F6519A" w:rsidRPr="007D0977">
              <w:t xml:space="preserve"> O</w:t>
            </w:r>
            <w:r w:rsidRPr="007D0977">
              <w:t>rt um den Totenschein auszustellen</w:t>
            </w:r>
          </w:p>
          <w:p w:rsidR="00CF390E" w:rsidRPr="007D0977" w:rsidRDefault="00CF390E" w:rsidP="00CF390E">
            <w:pPr>
              <w:pStyle w:val="Listenabsatz"/>
            </w:pPr>
          </w:p>
          <w:p w:rsidR="00CF390E" w:rsidRPr="007D0977" w:rsidRDefault="00CF390E" w:rsidP="00CF390E">
            <w:pPr>
              <w:pStyle w:val="Listenabsatz"/>
              <w:numPr>
                <w:ilvl w:val="0"/>
                <w:numId w:val="4"/>
              </w:numPr>
            </w:pPr>
            <w:r w:rsidRPr="007D0977">
              <w:t xml:space="preserve">spätestens einen Tag nach dem Tod muss der </w:t>
            </w:r>
            <w:r w:rsidRPr="007D0977">
              <w:rPr>
                <w:b/>
              </w:rPr>
              <w:t>Bestatter</w:t>
            </w:r>
            <w:r w:rsidRPr="007D0977">
              <w:t xml:space="preserve"> informiert werden, wenn er mit den Behördengängen beauftragt werden soll</w:t>
            </w:r>
          </w:p>
          <w:p w:rsidR="0031013F" w:rsidRPr="007D0977" w:rsidRDefault="0031013F" w:rsidP="0031013F">
            <w:pPr>
              <w:pStyle w:val="Listenabsatz"/>
            </w:pPr>
          </w:p>
          <w:p w:rsidR="00C412FD" w:rsidRPr="007D0977" w:rsidRDefault="00C412FD" w:rsidP="007D0977">
            <w:r w:rsidRPr="007D0977">
              <w:rPr>
                <w:b/>
              </w:rPr>
              <w:t>Sterbeurkunde</w:t>
            </w:r>
            <w:r w:rsidRPr="007D0977">
              <w:t xml:space="preserve"> beim zuständigen Standesamt (Sterbeort, nicht Wohnort)</w:t>
            </w:r>
            <w:r w:rsidR="0083156E" w:rsidRPr="007D0977">
              <w:t xml:space="preserve"> am folgenden Werktag nach Totenscheinausstellung </w:t>
            </w:r>
            <w:r w:rsidRPr="007D0977">
              <w:t xml:space="preserve"> in </w:t>
            </w:r>
            <w:r w:rsidR="0083156E" w:rsidRPr="007D0977">
              <w:t>7-10-</w:t>
            </w:r>
            <w:r w:rsidRPr="007D0977">
              <w:t xml:space="preserve">facher Ausfertigung ausstellen lassen </w:t>
            </w:r>
          </w:p>
          <w:p w:rsidR="005328C7" w:rsidRDefault="00C412FD" w:rsidP="007D0977">
            <w:pPr>
              <w:pStyle w:val="Listenabsatz"/>
              <w:numPr>
                <w:ilvl w:val="0"/>
                <w:numId w:val="10"/>
              </w:numPr>
            </w:pPr>
            <w:r w:rsidRPr="007D0977">
              <w:rPr>
                <w:u w:val="single"/>
              </w:rPr>
              <w:t>Dokumente</w:t>
            </w:r>
            <w:r w:rsidRPr="007D0977">
              <w:t xml:space="preserve">: eigener </w:t>
            </w:r>
            <w:r>
              <w:t xml:space="preserve">Personalausweis , Personalausweis des Verstorbenen, Totenschein , </w:t>
            </w:r>
          </w:p>
          <w:p w:rsidR="0083156E" w:rsidRDefault="00C412FD" w:rsidP="007D0977">
            <w:pPr>
              <w:pStyle w:val="Listenabsatz"/>
              <w:numPr>
                <w:ilvl w:val="0"/>
                <w:numId w:val="10"/>
              </w:numPr>
            </w:pPr>
            <w:r>
              <w:t xml:space="preserve">bei Ledigen die Geburtsurkunde, </w:t>
            </w:r>
          </w:p>
          <w:p w:rsidR="0083156E" w:rsidRDefault="00C412FD" w:rsidP="007D0977">
            <w:pPr>
              <w:pStyle w:val="Listenabsatz"/>
              <w:numPr>
                <w:ilvl w:val="0"/>
                <w:numId w:val="10"/>
              </w:numPr>
            </w:pPr>
            <w:r>
              <w:t xml:space="preserve">bei Verheirateten die Heiratsurkunde oder das Familienstammbuch bzw. eine beglaubigte Kopie daraus, </w:t>
            </w:r>
          </w:p>
          <w:p w:rsidR="00C412FD" w:rsidRDefault="00C412FD" w:rsidP="007D0977">
            <w:pPr>
              <w:pStyle w:val="Listenabsatz"/>
              <w:numPr>
                <w:ilvl w:val="0"/>
                <w:numId w:val="10"/>
              </w:numPr>
            </w:pPr>
            <w:r>
              <w:t>bei Geschiedenen die Heiratsurkunde und das Scheidungsurteil</w:t>
            </w:r>
          </w:p>
          <w:p w:rsidR="0083156E" w:rsidRDefault="0083156E" w:rsidP="007D0977">
            <w:pPr>
              <w:pStyle w:val="Listenabsatz"/>
              <w:numPr>
                <w:ilvl w:val="0"/>
                <w:numId w:val="10"/>
              </w:numPr>
            </w:pPr>
            <w:r>
              <w:lastRenderedPageBreak/>
              <w:t>bei Verwitweten die Heiratsurkunde und die Sterbeurkunde</w:t>
            </w:r>
          </w:p>
          <w:p w:rsidR="0031013F" w:rsidRPr="0040170D" w:rsidRDefault="0031013F" w:rsidP="00C412FD">
            <w:pPr>
              <w:pStyle w:val="Listenabsatz"/>
              <w:ind w:left="1134"/>
            </w:pPr>
          </w:p>
          <w:p w:rsidR="00F82449" w:rsidRPr="0040170D" w:rsidRDefault="007D0977" w:rsidP="007D0977">
            <w:r w:rsidRPr="007D0977">
              <w:rPr>
                <w:b/>
              </w:rPr>
              <w:t xml:space="preserve">Sterbeurkunde </w:t>
            </w:r>
            <w:r>
              <w:t xml:space="preserve">ist erforderlich, </w:t>
            </w:r>
            <w:r w:rsidR="0083156E" w:rsidRPr="0040170D">
              <w:t>um</w:t>
            </w:r>
          </w:p>
          <w:p w:rsidR="0083156E" w:rsidRPr="0040170D" w:rsidRDefault="0083156E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beim Nachlassgericht den Antrag auf Erteilung eines </w:t>
            </w:r>
            <w:r w:rsidRPr="0040170D">
              <w:rPr>
                <w:b/>
              </w:rPr>
              <w:t xml:space="preserve">Erbscheines </w:t>
            </w:r>
            <w:r w:rsidRPr="0040170D">
              <w:t>zu stellen</w:t>
            </w:r>
          </w:p>
          <w:p w:rsidR="00460940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die </w:t>
            </w:r>
            <w:r w:rsidRPr="0040170D">
              <w:rPr>
                <w:b/>
              </w:rPr>
              <w:t>Testamentseröffnung</w:t>
            </w:r>
            <w:r w:rsidRPr="0040170D">
              <w:t xml:space="preserve"> zu beantragen</w:t>
            </w:r>
          </w:p>
          <w:p w:rsidR="0083156E" w:rsidRPr="0040170D" w:rsidRDefault="0083156E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den Todesfall der </w:t>
            </w:r>
            <w:r w:rsidRPr="0040170D">
              <w:rPr>
                <w:b/>
              </w:rPr>
              <w:t>Krankenkasse</w:t>
            </w:r>
            <w:r w:rsidRPr="0040170D">
              <w:t xml:space="preserve"> zu melden</w:t>
            </w:r>
          </w:p>
          <w:p w:rsidR="0083156E" w:rsidRPr="0040170D" w:rsidRDefault="0083156E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>den Todesfall dem</w:t>
            </w:r>
            <w:r w:rsidRPr="0040170D">
              <w:rPr>
                <w:b/>
              </w:rPr>
              <w:t xml:space="preserve"> Rententräger</w:t>
            </w:r>
            <w:r w:rsidR="00C500D4" w:rsidRPr="0040170D">
              <w:t xml:space="preserve"> </w:t>
            </w:r>
            <w:r w:rsidRPr="0040170D">
              <w:t>zu melden</w:t>
            </w:r>
          </w:p>
          <w:p w:rsidR="0083156E" w:rsidRPr="0040170D" w:rsidRDefault="0083156E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das </w:t>
            </w:r>
            <w:r w:rsidRPr="0040170D">
              <w:rPr>
                <w:b/>
              </w:rPr>
              <w:t xml:space="preserve">Konto </w:t>
            </w:r>
            <w:r w:rsidRPr="0040170D">
              <w:t>und Wertpapierdepots aufzulösen</w:t>
            </w:r>
          </w:p>
          <w:p w:rsidR="00C500D4" w:rsidRDefault="00C500D4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Abrechnung mit </w:t>
            </w:r>
            <w:r w:rsidRPr="0040170D">
              <w:rPr>
                <w:b/>
              </w:rPr>
              <w:t>Lebensversicherungen</w:t>
            </w:r>
            <w:r w:rsidRPr="0040170D">
              <w:t xml:space="preserve"> und Sterbekassen durchzuführen</w:t>
            </w:r>
          </w:p>
          <w:p w:rsidR="00460940" w:rsidRPr="0040170D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rPr>
                <w:b/>
              </w:rPr>
              <w:t xml:space="preserve">Abmeldung von </w:t>
            </w:r>
            <w:proofErr w:type="spellStart"/>
            <w:r w:rsidRPr="0040170D">
              <w:rPr>
                <w:b/>
              </w:rPr>
              <w:t>KfZ</w:t>
            </w:r>
            <w:proofErr w:type="spellEnd"/>
            <w:r w:rsidRPr="0040170D">
              <w:t>-Versicherungen, Daueraufträgen, Strom-, Gas- und Wasserlieferungen durch</w:t>
            </w:r>
            <w:r w:rsidR="007D0977">
              <w:t>zu</w:t>
            </w:r>
            <w:r w:rsidRPr="0040170D">
              <w:t>führen</w:t>
            </w:r>
          </w:p>
          <w:p w:rsidR="00C500D4" w:rsidRPr="0040170D" w:rsidRDefault="00C500D4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Abmeldung bei </w:t>
            </w:r>
            <w:r w:rsidRPr="0040170D">
              <w:rPr>
                <w:b/>
              </w:rPr>
              <w:t>Vereinen</w:t>
            </w:r>
            <w:r w:rsidRPr="0040170D">
              <w:t>, Parteien, berufsständischen Organisationen durchzuführen</w:t>
            </w:r>
          </w:p>
          <w:p w:rsidR="00F82449" w:rsidRPr="0040170D" w:rsidRDefault="007D0977" w:rsidP="0040170D">
            <w:pPr>
              <w:pStyle w:val="Listenabsatz"/>
              <w:numPr>
                <w:ilvl w:val="0"/>
                <w:numId w:val="4"/>
              </w:numPr>
            </w:pPr>
            <w:r>
              <w:t>g</w:t>
            </w:r>
            <w:r w:rsidR="00C500D4" w:rsidRPr="0040170D">
              <w:t xml:space="preserve">gf. eine Meldung der </w:t>
            </w:r>
            <w:r w:rsidR="0019210D">
              <w:t xml:space="preserve">Anschrift des </w:t>
            </w:r>
            <w:r w:rsidR="00C500D4" w:rsidRPr="0040170D">
              <w:t>Verstorbenen an die „Robinson-Liste“ zwecks Untersagung unaufgeforderter Werbesendungen durchzuführen</w:t>
            </w:r>
          </w:p>
          <w:p w:rsidR="0021693B" w:rsidRPr="0040170D" w:rsidRDefault="00A8691C" w:rsidP="00A8691C">
            <w:pPr>
              <w:pStyle w:val="Listenabsatz"/>
              <w:numPr>
                <w:ilvl w:val="0"/>
                <w:numId w:val="4"/>
              </w:numPr>
            </w:pPr>
            <w:r>
              <w:t>…</w:t>
            </w:r>
          </w:p>
          <w:p w:rsidR="00460940" w:rsidRPr="0040170D" w:rsidRDefault="00460940" w:rsidP="00460940">
            <w:pPr>
              <w:pStyle w:val="Listenabsatz"/>
              <w:ind w:left="1134"/>
            </w:pPr>
          </w:p>
          <w:p w:rsidR="0021693B" w:rsidRDefault="0021693B" w:rsidP="00460940">
            <w:pPr>
              <w:pStyle w:val="Listenabsatz"/>
              <w:ind w:left="1134"/>
            </w:pPr>
          </w:p>
          <w:p w:rsidR="007D0977" w:rsidRDefault="007D0977" w:rsidP="00460940">
            <w:pPr>
              <w:pStyle w:val="Listenabsatz"/>
              <w:ind w:left="1134"/>
            </w:pPr>
          </w:p>
          <w:p w:rsidR="007D0977" w:rsidRDefault="007D0977" w:rsidP="00460940">
            <w:pPr>
              <w:pStyle w:val="Listenabsatz"/>
              <w:ind w:left="1134"/>
            </w:pPr>
          </w:p>
          <w:p w:rsidR="007D0977" w:rsidRDefault="007D0977" w:rsidP="00460940">
            <w:pPr>
              <w:pStyle w:val="Listenabsatz"/>
              <w:ind w:left="1134"/>
            </w:pPr>
          </w:p>
          <w:p w:rsidR="007D0977" w:rsidRDefault="007D0977" w:rsidP="00460940">
            <w:pPr>
              <w:pStyle w:val="Listenabsatz"/>
              <w:ind w:left="1134"/>
            </w:pPr>
          </w:p>
          <w:p w:rsidR="007D0977" w:rsidRDefault="007D0977" w:rsidP="00460940">
            <w:pPr>
              <w:pStyle w:val="Listenabsatz"/>
              <w:ind w:left="1134"/>
            </w:pPr>
          </w:p>
          <w:p w:rsidR="007D0977" w:rsidRPr="0040170D" w:rsidRDefault="007D0977" w:rsidP="00460940">
            <w:pPr>
              <w:pStyle w:val="Listenabsatz"/>
              <w:ind w:left="1134"/>
            </w:pPr>
          </w:p>
          <w:p w:rsidR="0021693B" w:rsidRPr="0040170D" w:rsidRDefault="0021693B" w:rsidP="0040170D">
            <w:pPr>
              <w:pStyle w:val="Listenabsatz"/>
              <w:rPr>
                <w:b/>
                <w:i/>
              </w:rPr>
            </w:pPr>
            <w:r w:rsidRPr="0040170D">
              <w:rPr>
                <w:b/>
                <w:i/>
              </w:rPr>
              <w:t xml:space="preserve">Hinweis: </w:t>
            </w:r>
          </w:p>
          <w:p w:rsidR="0021693B" w:rsidRPr="007D0977" w:rsidRDefault="0021693B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Arzt bestätigt im Totenschein, dass der Tod auf natürliche Art eingetreten ist</w:t>
            </w:r>
          </w:p>
          <w:p w:rsidR="0021693B" w:rsidRPr="007D0977" w:rsidRDefault="0021693B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Totenschein notwendig</w:t>
            </w:r>
            <w:r w:rsidR="007D0977" w:rsidRPr="007D0977">
              <w:t>,</w:t>
            </w:r>
            <w:r w:rsidRPr="007D0977">
              <w:t xml:space="preserve"> um den Todesfall beim Standesamt anzuzeigen</w:t>
            </w:r>
          </w:p>
          <w:p w:rsidR="0021693B" w:rsidRPr="007D0977" w:rsidRDefault="0021693B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der Leichnam darf 24-36 Stunden im Hause bleiben, damit Angehörige in vertrauter Umgebung Abschied nehmen können</w:t>
            </w:r>
          </w:p>
          <w:p w:rsidR="00F82449" w:rsidRPr="0040170D" w:rsidRDefault="0021693B" w:rsidP="0040170D">
            <w:pPr>
              <w:pStyle w:val="Listenabsatz"/>
              <w:numPr>
                <w:ilvl w:val="0"/>
                <w:numId w:val="4"/>
              </w:numPr>
              <w:rPr>
                <w:color w:val="00B050"/>
              </w:rPr>
            </w:pPr>
            <w:r w:rsidRPr="007D0977">
              <w:t>erste Sterbeurkunde kostet 10</w:t>
            </w:r>
            <w:r w:rsidR="007D0977">
              <w:t xml:space="preserve"> </w:t>
            </w:r>
            <w:r w:rsidRPr="007D0977">
              <w:t xml:space="preserve">€, </w:t>
            </w:r>
            <w:r w:rsidR="007D0977">
              <w:t xml:space="preserve"> </w:t>
            </w:r>
            <w:r w:rsidRPr="007D0977">
              <w:t>jede weitere 5</w:t>
            </w:r>
            <w:r w:rsidR="007D0977">
              <w:t xml:space="preserve"> </w:t>
            </w:r>
            <w:r w:rsidRPr="007D0977">
              <w:t>€</w:t>
            </w:r>
          </w:p>
        </w:tc>
        <w:tc>
          <w:tcPr>
            <w:tcW w:w="4962" w:type="dxa"/>
          </w:tcPr>
          <w:p w:rsidR="0040170D" w:rsidRPr="0040170D" w:rsidRDefault="0040170D" w:rsidP="0040170D">
            <w:pPr>
              <w:pStyle w:val="Listenabsatz"/>
              <w:ind w:left="1440"/>
              <w:rPr>
                <w:color w:val="00B050"/>
              </w:rPr>
            </w:pP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rPr>
                <w:b/>
              </w:rPr>
              <w:t>Beisetzun</w:t>
            </w:r>
            <w:r w:rsidRPr="007D0977">
              <w:t>g gemäß den Vorstellungen des Verstorbenen regeln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rPr>
                <w:b/>
              </w:rPr>
              <w:t>Kosten</w:t>
            </w:r>
            <w:r w:rsidRPr="007D0977">
              <w:t xml:space="preserve"> für Bestatter vergleichen; bestenfalls wurden Angebote zu Lebzeiten eingeholt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Sarg/Urne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Ausstattung/Bekleidung (die Kleidung kann mitgebracht werden)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Einsargung und Kosmetik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Überführung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Verwaltungskosten</w:t>
            </w:r>
          </w:p>
          <w:p w:rsidR="007D0977" w:rsidRPr="007D0977" w:rsidRDefault="007D0977" w:rsidP="007D0977">
            <w:pPr>
              <w:pStyle w:val="Listenabsatz"/>
            </w:pPr>
          </w:p>
          <w:p w:rsidR="00CF2AC3" w:rsidRPr="007D0977" w:rsidRDefault="00CF2AC3" w:rsidP="007D0977">
            <w:pPr>
              <w:rPr>
                <w:b/>
              </w:rPr>
            </w:pPr>
            <w:r w:rsidRPr="007D0977">
              <w:rPr>
                <w:b/>
              </w:rPr>
              <w:t>Organisatorische Aufgaben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 xml:space="preserve">Ggf. Erwerb einer </w:t>
            </w:r>
            <w:r w:rsidRPr="007D0977">
              <w:rPr>
                <w:b/>
              </w:rPr>
              <w:t>Grabstätte</w:t>
            </w:r>
            <w:r w:rsidRPr="007D0977">
              <w:t xml:space="preserve"> zur Sarg- oder Urnenbeisetzung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rPr>
                <w:b/>
              </w:rPr>
              <w:t>Termin</w:t>
            </w:r>
            <w:r w:rsidRPr="007D0977">
              <w:t>festlegung bei Stadt und Kirche für die Trauerfeier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rPr>
                <w:b/>
              </w:rPr>
              <w:t>Musik</w:t>
            </w:r>
            <w:r w:rsidRPr="007D0977">
              <w:t>alische Begleitung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Dekoration und Beleuchtung</w:t>
            </w:r>
          </w:p>
          <w:p w:rsidR="00CF2AC3" w:rsidRPr="007D0977" w:rsidRDefault="00CF2AC3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Sargschmuck</w:t>
            </w:r>
          </w:p>
          <w:p w:rsidR="00CF2AC3" w:rsidRPr="007D0977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 xml:space="preserve">Adressen für </w:t>
            </w:r>
            <w:r w:rsidR="00C500D4" w:rsidRPr="007D0977">
              <w:rPr>
                <w:b/>
              </w:rPr>
              <w:t>Trauerbriefe</w:t>
            </w:r>
          </w:p>
          <w:p w:rsidR="00C500D4" w:rsidRPr="007D0977" w:rsidRDefault="00C500D4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Zeitungsanzeige</w:t>
            </w:r>
          </w:p>
          <w:p w:rsidR="00C500D4" w:rsidRPr="007D0977" w:rsidRDefault="00C500D4" w:rsidP="0040170D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7D0977">
              <w:rPr>
                <w:b/>
              </w:rPr>
              <w:t>Pfarrer/Trauerredner</w:t>
            </w:r>
          </w:p>
          <w:p w:rsidR="00460940" w:rsidRPr="007D0977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7D0977">
              <w:t>Trauermahl organisieren</w:t>
            </w:r>
          </w:p>
          <w:p w:rsidR="00B347C9" w:rsidRPr="0040170D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rPr>
                <w:b/>
              </w:rPr>
              <w:lastRenderedPageBreak/>
              <w:t xml:space="preserve">Erbschein </w:t>
            </w:r>
            <w:r w:rsidRPr="0040170D">
              <w:t>beantragen und Testament eröffnen lassen</w:t>
            </w:r>
            <w:r w:rsidR="005328C7" w:rsidRPr="0040170D">
              <w:t xml:space="preserve"> (siehe Rechtliches)</w:t>
            </w:r>
            <w:r w:rsidR="00B347C9" w:rsidRPr="0040170D">
              <w:rPr>
                <w:b/>
              </w:rPr>
              <w:t xml:space="preserve"> </w:t>
            </w:r>
          </w:p>
          <w:p w:rsidR="00B347C9" w:rsidRDefault="00B347C9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rPr>
                <w:b/>
              </w:rPr>
              <w:t xml:space="preserve">Trauermahl </w:t>
            </w:r>
            <w:r w:rsidRPr="0040170D">
              <w:t>mit der Familie, Verwandten, Freunden, Nachbarn  zur Erinnerung an den Verstorbenen – gemeinsames Mahl als Abschluss der Trauerfeier</w:t>
            </w:r>
          </w:p>
          <w:p w:rsidR="00CF390E" w:rsidRPr="0040170D" w:rsidRDefault="00CF390E" w:rsidP="00CF390E">
            <w:pPr>
              <w:pStyle w:val="Listenabsatz"/>
            </w:pPr>
          </w:p>
          <w:p w:rsidR="007D0977" w:rsidRDefault="00CF390E" w:rsidP="007D0977">
            <w:r w:rsidRPr="007D0977">
              <w:rPr>
                <w:b/>
              </w:rPr>
              <w:t>Rituale am Grab</w:t>
            </w:r>
          </w:p>
          <w:p w:rsidR="00CF390E" w:rsidRPr="0040170D" w:rsidRDefault="00CF390E" w:rsidP="007D0977">
            <w:pPr>
              <w:pStyle w:val="Listenabsatz"/>
              <w:numPr>
                <w:ilvl w:val="0"/>
                <w:numId w:val="4"/>
              </w:numPr>
            </w:pPr>
            <w:r w:rsidRPr="0040170D">
              <w:t>wie z.</w:t>
            </w:r>
            <w:r w:rsidR="007D0977">
              <w:t xml:space="preserve"> </w:t>
            </w:r>
            <w:r w:rsidRPr="0040170D">
              <w:t>B. Gebete</w:t>
            </w:r>
            <w:r w:rsidR="007D0977">
              <w:t xml:space="preserve">, Weihwasser (kath.), </w:t>
            </w:r>
            <w:r w:rsidRPr="0040170D">
              <w:t xml:space="preserve"> „Vater unser“, Sa</w:t>
            </w:r>
            <w:r w:rsidR="007D0977">
              <w:t>nd  „Erde zu Erde …“, Blumen- od</w:t>
            </w:r>
            <w:r w:rsidRPr="0040170D">
              <w:t xml:space="preserve">er Blütengabe </w:t>
            </w:r>
          </w:p>
          <w:p w:rsidR="00CF390E" w:rsidRPr="0040170D" w:rsidRDefault="00CF390E" w:rsidP="00CF390E">
            <w:pPr>
              <w:pStyle w:val="Listenabsatz"/>
              <w:numPr>
                <w:ilvl w:val="0"/>
                <w:numId w:val="4"/>
              </w:numPr>
            </w:pPr>
            <w:r w:rsidRPr="0040170D">
              <w:t>Kondolieren bei Angehörigen</w:t>
            </w:r>
          </w:p>
          <w:p w:rsidR="00CF390E" w:rsidRPr="0040170D" w:rsidRDefault="00CF390E" w:rsidP="00CF390E">
            <w:pPr>
              <w:pStyle w:val="Listenabsatz"/>
              <w:numPr>
                <w:ilvl w:val="0"/>
                <w:numId w:val="4"/>
              </w:numPr>
            </w:pPr>
            <w:r w:rsidRPr="0040170D">
              <w:t>Lesung und Gebet für Verstorbenen am Sonntag nach der Beerdigung</w:t>
            </w:r>
            <w:r w:rsidR="007D0977">
              <w:t xml:space="preserve"> („Abkündigung“)</w:t>
            </w:r>
          </w:p>
          <w:p w:rsidR="0021693B" w:rsidRPr="00CF390E" w:rsidRDefault="0021693B" w:rsidP="0021693B"/>
          <w:p w:rsidR="007D0977" w:rsidRDefault="00CF390E" w:rsidP="007D0977">
            <w:r w:rsidRPr="007D0977">
              <w:rPr>
                <w:b/>
              </w:rPr>
              <w:t>Weitere Rituale</w:t>
            </w:r>
          </w:p>
          <w:p w:rsidR="00CF390E" w:rsidRDefault="00CF390E" w:rsidP="007D0977">
            <w:pPr>
              <w:pStyle w:val="Listenabsatz"/>
              <w:numPr>
                <w:ilvl w:val="0"/>
                <w:numId w:val="5"/>
              </w:numPr>
            </w:pPr>
            <w:r w:rsidRPr="00CF390E">
              <w:t xml:space="preserve">wie z.B. </w:t>
            </w:r>
          </w:p>
          <w:p w:rsidR="00CF390E" w:rsidRDefault="00CF390E" w:rsidP="007D0977">
            <w:pPr>
              <w:pStyle w:val="Listenabsatz"/>
              <w:numPr>
                <w:ilvl w:val="0"/>
                <w:numId w:val="8"/>
              </w:numPr>
            </w:pPr>
            <w:r w:rsidRPr="00CF390E">
              <w:t>Öffnen des Fensters, damit die Seele „gehen kann“ (in den Himmel gehen kann)</w:t>
            </w:r>
          </w:p>
          <w:p w:rsidR="00CF390E" w:rsidRDefault="00CF390E" w:rsidP="007D0977">
            <w:pPr>
              <w:pStyle w:val="Listenabsatz"/>
              <w:numPr>
                <w:ilvl w:val="0"/>
                <w:numId w:val="8"/>
              </w:numPr>
            </w:pPr>
            <w:r>
              <w:t>Spiegel verhängen, damit die Seele sich nicht erschreckt</w:t>
            </w:r>
          </w:p>
          <w:p w:rsidR="00CF390E" w:rsidRDefault="00CF390E" w:rsidP="007D0977">
            <w:pPr>
              <w:pStyle w:val="Listenabsatz"/>
              <w:numPr>
                <w:ilvl w:val="0"/>
                <w:numId w:val="8"/>
              </w:numPr>
            </w:pPr>
            <w:r>
              <w:t>Typische regionale Speisen beim Trauermahl</w:t>
            </w:r>
          </w:p>
          <w:p w:rsidR="00CF390E" w:rsidRDefault="00CF390E" w:rsidP="007D0977">
            <w:pPr>
              <w:pStyle w:val="Listenabsatz"/>
              <w:numPr>
                <w:ilvl w:val="0"/>
                <w:numId w:val="8"/>
              </w:numPr>
            </w:pPr>
            <w:r>
              <w:t>Schwarze Kleidung als Ausdruck der Trauer</w:t>
            </w:r>
          </w:p>
          <w:p w:rsidR="00CF390E" w:rsidRPr="00CF390E" w:rsidRDefault="00CF390E" w:rsidP="00CF390E">
            <w:pPr>
              <w:pStyle w:val="Listenabsatz"/>
              <w:numPr>
                <w:ilvl w:val="0"/>
                <w:numId w:val="4"/>
              </w:numPr>
            </w:pPr>
            <w:r>
              <w:t>…</w:t>
            </w:r>
          </w:p>
          <w:p w:rsidR="0021693B" w:rsidRPr="00CF390E" w:rsidRDefault="0021693B" w:rsidP="0021693B"/>
          <w:p w:rsidR="0021693B" w:rsidRDefault="0021693B" w:rsidP="0021693B">
            <w:pPr>
              <w:rPr>
                <w:color w:val="00B050"/>
              </w:rPr>
            </w:pPr>
          </w:p>
          <w:p w:rsidR="0021693B" w:rsidRDefault="0021693B" w:rsidP="0021693B">
            <w:pPr>
              <w:rPr>
                <w:color w:val="00B050"/>
              </w:rPr>
            </w:pPr>
          </w:p>
          <w:p w:rsidR="0021693B" w:rsidRDefault="0021693B" w:rsidP="0021693B">
            <w:pPr>
              <w:rPr>
                <w:color w:val="00B050"/>
              </w:rPr>
            </w:pPr>
          </w:p>
          <w:p w:rsidR="0021693B" w:rsidRDefault="0021693B" w:rsidP="0021693B">
            <w:pPr>
              <w:rPr>
                <w:color w:val="00B050"/>
              </w:rPr>
            </w:pPr>
          </w:p>
          <w:p w:rsidR="0021693B" w:rsidRDefault="0021693B" w:rsidP="0021693B">
            <w:pPr>
              <w:rPr>
                <w:color w:val="00B050"/>
              </w:rPr>
            </w:pPr>
          </w:p>
          <w:p w:rsidR="0021693B" w:rsidRPr="009D60E4" w:rsidRDefault="0021693B" w:rsidP="009D60E4">
            <w:pPr>
              <w:rPr>
                <w:b/>
                <w:i/>
              </w:rPr>
            </w:pPr>
            <w:r w:rsidRPr="009D60E4">
              <w:rPr>
                <w:b/>
                <w:i/>
              </w:rPr>
              <w:t>Hinweis:</w:t>
            </w:r>
          </w:p>
          <w:p w:rsidR="00460940" w:rsidRPr="0040170D" w:rsidRDefault="0021693B" w:rsidP="0040170D">
            <w:pPr>
              <w:rPr>
                <w:color w:val="00B050"/>
              </w:rPr>
            </w:pPr>
            <w:r>
              <w:t>Durchschnittliche Bestattungskosten liegen im günstigen Fall zwischen 2000</w:t>
            </w:r>
            <w:r w:rsidR="00613E67">
              <w:t xml:space="preserve"> </w:t>
            </w:r>
            <w:r>
              <w:t>€ (laut Verbraucherzentralen) und 5000</w:t>
            </w:r>
            <w:r w:rsidR="00613E67">
              <w:t xml:space="preserve"> </w:t>
            </w:r>
            <w:r>
              <w:t>€ (laut Stiftung Warentest)</w:t>
            </w:r>
            <w:r w:rsidR="00613E67">
              <w:t>.</w:t>
            </w:r>
          </w:p>
        </w:tc>
        <w:tc>
          <w:tcPr>
            <w:tcW w:w="4819" w:type="dxa"/>
          </w:tcPr>
          <w:p w:rsidR="0040170D" w:rsidRPr="0040170D" w:rsidRDefault="0040170D" w:rsidP="0040170D">
            <w:pPr>
              <w:pStyle w:val="Listenabsatz"/>
              <w:rPr>
                <w:b/>
                <w:color w:val="00B050"/>
              </w:rPr>
            </w:pPr>
          </w:p>
          <w:p w:rsidR="00C0572A" w:rsidRPr="0040170D" w:rsidRDefault="0040170D" w:rsidP="0040170D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40170D">
              <w:t>Bestatter hat de</w:t>
            </w:r>
            <w:r w:rsidR="00C0572A" w:rsidRPr="0040170D">
              <w:t xml:space="preserve">n Toten </w:t>
            </w:r>
            <w:r w:rsidR="00C0572A" w:rsidRPr="0040170D">
              <w:rPr>
                <w:b/>
              </w:rPr>
              <w:t xml:space="preserve">gewaschen </w:t>
            </w:r>
            <w:r w:rsidR="00C0572A" w:rsidRPr="0040170D">
              <w:t xml:space="preserve">und (mit eigener Kleidung) </w:t>
            </w:r>
            <w:r w:rsidR="00C0572A" w:rsidRPr="0040170D">
              <w:rPr>
                <w:b/>
              </w:rPr>
              <w:t xml:space="preserve">gekleidet </w:t>
            </w:r>
            <w:r w:rsidR="00C0572A" w:rsidRPr="0040170D">
              <w:t>bevor er im (verschlossenen) Sarg aufgeba</w:t>
            </w:r>
            <w:r w:rsidR="0019210D">
              <w:t>h</w:t>
            </w:r>
            <w:r w:rsidR="00C0572A" w:rsidRPr="0040170D">
              <w:t>rt wird</w:t>
            </w:r>
          </w:p>
          <w:p w:rsidR="00F82449" w:rsidRPr="0040170D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rPr>
                <w:b/>
              </w:rPr>
              <w:t xml:space="preserve">Vorgespräch mit dem </w:t>
            </w:r>
            <w:r w:rsidR="00F6519A">
              <w:rPr>
                <w:b/>
              </w:rPr>
              <w:t xml:space="preserve">Amtsträger </w:t>
            </w:r>
            <w:r w:rsidRPr="0040170D">
              <w:t>führen (Informationen über den Verstorbenen, die im Trauergottesdienst berücksichtigt werden)</w:t>
            </w:r>
          </w:p>
          <w:p w:rsidR="00B347C9" w:rsidRPr="0040170D" w:rsidRDefault="00F6519A" w:rsidP="0040170D">
            <w:pPr>
              <w:pStyle w:val="Listenabsatz"/>
              <w:numPr>
                <w:ilvl w:val="0"/>
                <w:numId w:val="4"/>
              </w:numPr>
            </w:pPr>
            <w:r>
              <w:t>Der Amtsträger</w:t>
            </w:r>
            <w:r w:rsidR="00B347C9" w:rsidRPr="0040170D">
              <w:t xml:space="preserve"> spricht über die</w:t>
            </w:r>
            <w:r w:rsidR="00B347C9" w:rsidRPr="0040170D">
              <w:rPr>
                <w:b/>
              </w:rPr>
              <w:t xml:space="preserve"> zentrale christliche Hoffnung auf ein Leben nach dem Tod</w:t>
            </w:r>
          </w:p>
          <w:p w:rsidR="00195301" w:rsidRPr="0040170D" w:rsidRDefault="00195301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Auswahl eines </w:t>
            </w:r>
            <w:r w:rsidRPr="0040170D">
              <w:rPr>
                <w:b/>
              </w:rPr>
              <w:t>Trauerspruches</w:t>
            </w:r>
            <w:r w:rsidR="00C0572A" w:rsidRPr="0040170D">
              <w:rPr>
                <w:b/>
              </w:rPr>
              <w:t xml:space="preserve"> </w:t>
            </w:r>
            <w:r w:rsidR="00C0572A" w:rsidRPr="0040170D">
              <w:t>(</w:t>
            </w:r>
            <w:proofErr w:type="spellStart"/>
            <w:r w:rsidR="00C0572A" w:rsidRPr="0040170D">
              <w:t>votum</w:t>
            </w:r>
            <w:proofErr w:type="spellEnd"/>
            <w:r w:rsidR="00C836CF">
              <w:t xml:space="preserve"> </w:t>
            </w:r>
            <w:r w:rsidR="00C0572A" w:rsidRPr="0040170D">
              <w:t>=</w:t>
            </w:r>
            <w:r w:rsidR="00C836CF">
              <w:t xml:space="preserve"> </w:t>
            </w:r>
            <w:r w:rsidR="00C0572A" w:rsidRPr="0040170D">
              <w:t>biblischer Spruch)</w:t>
            </w:r>
            <w:r w:rsidRPr="0040170D">
              <w:t>, evtl. Rückgriff auf</w:t>
            </w:r>
            <w:r w:rsidR="00F6519A">
              <w:t xml:space="preserve"> Tauf-,</w:t>
            </w:r>
            <w:r w:rsidRPr="0040170D">
              <w:t xml:space="preserve"> Konfirmations-, Kommunions-, Trauspruch oder individuell gewünschte Bibelverse</w:t>
            </w:r>
          </w:p>
          <w:p w:rsidR="00460940" w:rsidRPr="0040170D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Auswahl von </w:t>
            </w:r>
            <w:r w:rsidRPr="0040170D">
              <w:rPr>
                <w:b/>
              </w:rPr>
              <w:t>Liedern und Musik</w:t>
            </w:r>
            <w:r w:rsidRPr="0040170D">
              <w:t xml:space="preserve"> (Orgelmusik mit Organisten und/oder freie Musiker; ggf. Musik vom Band, z.B. bei moderner Rock- und Popmusik)</w:t>
            </w:r>
          </w:p>
          <w:p w:rsidR="00460940" w:rsidRPr="0040170D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rPr>
                <w:b/>
              </w:rPr>
              <w:t>Kondolenzbuch</w:t>
            </w:r>
            <w:r w:rsidRPr="0040170D">
              <w:t xml:space="preserve"> vor der Kirche</w:t>
            </w:r>
          </w:p>
          <w:p w:rsidR="00460940" w:rsidRPr="0040170D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rPr>
                <w:b/>
              </w:rPr>
              <w:t>Foto</w:t>
            </w:r>
            <w:r w:rsidRPr="0040170D">
              <w:t xml:space="preserve"> des Verstorbenen neben dem Sarg</w:t>
            </w:r>
          </w:p>
          <w:p w:rsidR="00460940" w:rsidRPr="0040170D" w:rsidRDefault="00460940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Sarg- und Trauerschmuck nach </w:t>
            </w:r>
            <w:r w:rsidR="00195301" w:rsidRPr="0040170D">
              <w:t>individuellen Vorlieben</w:t>
            </w:r>
          </w:p>
          <w:p w:rsidR="00195301" w:rsidRPr="0040170D" w:rsidRDefault="00195301" w:rsidP="0040170D">
            <w:pPr>
              <w:pStyle w:val="Listenabsatz"/>
              <w:numPr>
                <w:ilvl w:val="0"/>
                <w:numId w:val="4"/>
              </w:numPr>
            </w:pPr>
            <w:r w:rsidRPr="0040170D">
              <w:t xml:space="preserve">Beisetzung im Grab </w:t>
            </w:r>
          </w:p>
          <w:p w:rsidR="007D0977" w:rsidRDefault="00195301" w:rsidP="007D0977">
            <w:r w:rsidRPr="007D0977">
              <w:rPr>
                <w:b/>
              </w:rPr>
              <w:lastRenderedPageBreak/>
              <w:t>Rituale am Grab</w:t>
            </w:r>
          </w:p>
          <w:p w:rsidR="00195301" w:rsidRPr="0040170D" w:rsidRDefault="00195301" w:rsidP="007D0977">
            <w:pPr>
              <w:pStyle w:val="Listenabsatz"/>
              <w:numPr>
                <w:ilvl w:val="0"/>
                <w:numId w:val="11"/>
              </w:numPr>
              <w:ind w:left="741" w:hanging="425"/>
            </w:pPr>
            <w:r w:rsidRPr="0040170D">
              <w:t>wie z.</w:t>
            </w:r>
            <w:r w:rsidR="00F6519A">
              <w:t xml:space="preserve"> </w:t>
            </w:r>
            <w:r w:rsidRPr="0040170D">
              <w:t>B. Gebete</w:t>
            </w:r>
            <w:r w:rsidR="00F6519A">
              <w:t xml:space="preserve">, Weihwasser (kath.), </w:t>
            </w:r>
            <w:r w:rsidR="00B347C9" w:rsidRPr="0040170D">
              <w:t xml:space="preserve"> „Vater unser“</w:t>
            </w:r>
            <w:r w:rsidRPr="0040170D">
              <w:t xml:space="preserve">, Sand </w:t>
            </w:r>
            <w:r w:rsidR="00B347C9" w:rsidRPr="0040170D">
              <w:t xml:space="preserve"> „Erde zu Erde …“</w:t>
            </w:r>
            <w:r w:rsidRPr="0040170D">
              <w:t xml:space="preserve">, Blumen- </w:t>
            </w:r>
            <w:r w:rsidR="00F6519A">
              <w:t xml:space="preserve"> od</w:t>
            </w:r>
            <w:r w:rsidRPr="0040170D">
              <w:t xml:space="preserve">er Blütengabe </w:t>
            </w:r>
          </w:p>
          <w:p w:rsidR="00195301" w:rsidRDefault="00195301" w:rsidP="007D0977">
            <w:pPr>
              <w:pStyle w:val="Listenabsatz"/>
              <w:numPr>
                <w:ilvl w:val="0"/>
                <w:numId w:val="4"/>
              </w:numPr>
              <w:ind w:left="741" w:hanging="425"/>
            </w:pPr>
            <w:r w:rsidRPr="0040170D">
              <w:t>Kondolieren bei Angehörigen</w:t>
            </w:r>
          </w:p>
          <w:p w:rsidR="006D64B7" w:rsidRPr="0040170D" w:rsidRDefault="00B347C9" w:rsidP="007D0977">
            <w:pPr>
              <w:pStyle w:val="Listenabsatz"/>
              <w:numPr>
                <w:ilvl w:val="0"/>
                <w:numId w:val="4"/>
              </w:numPr>
              <w:ind w:left="741" w:hanging="425"/>
            </w:pPr>
            <w:r w:rsidRPr="0040170D">
              <w:t>Lesung und Gebet für Verstorbenen am Sonntag nach der Beerdigung</w:t>
            </w:r>
          </w:p>
          <w:p w:rsidR="00B347C9" w:rsidRPr="0040170D" w:rsidRDefault="00B347C9" w:rsidP="007D0977">
            <w:pPr>
              <w:pStyle w:val="Listenabsatz"/>
              <w:numPr>
                <w:ilvl w:val="0"/>
                <w:numId w:val="4"/>
              </w:numPr>
              <w:ind w:left="741" w:hanging="425"/>
            </w:pPr>
            <w:r w:rsidRPr="0040170D">
              <w:t>Gedenken zu Allerseelen und am Ewigkeitssonntag</w:t>
            </w:r>
            <w:r w:rsidR="00F6519A">
              <w:t xml:space="preserve"> bzw. am Fest Allerheiligen</w:t>
            </w:r>
          </w:p>
          <w:p w:rsidR="00B347C9" w:rsidRPr="0040170D" w:rsidRDefault="00B347C9" w:rsidP="007D0977">
            <w:pPr>
              <w:pStyle w:val="Listenabsatz"/>
              <w:numPr>
                <w:ilvl w:val="0"/>
                <w:numId w:val="4"/>
              </w:numPr>
              <w:ind w:left="741" w:hanging="425"/>
            </w:pPr>
            <w:r w:rsidRPr="0040170D">
              <w:t>Eine Kremation nimmt der Bestatter vor, die Urne wird in einer kleinen Andacht zum Grab gebracht und beigesetzt</w:t>
            </w:r>
          </w:p>
          <w:p w:rsidR="00C0572A" w:rsidRPr="0040170D" w:rsidRDefault="00C0572A" w:rsidP="006D64B7"/>
          <w:p w:rsidR="006D64B7" w:rsidRPr="007D0977" w:rsidRDefault="006D64B7" w:rsidP="007D0977">
            <w:pPr>
              <w:rPr>
                <w:u w:val="single"/>
              </w:rPr>
            </w:pPr>
            <w:r w:rsidRPr="007D0977">
              <w:rPr>
                <w:b/>
                <w:u w:val="single"/>
              </w:rPr>
              <w:t>Christ</w:t>
            </w:r>
            <w:r w:rsidR="00B347C9" w:rsidRPr="007D0977">
              <w:rPr>
                <w:b/>
                <w:u w:val="single"/>
              </w:rPr>
              <w:t>liche Hoffnung</w:t>
            </w:r>
            <w:r w:rsidRPr="007D0977">
              <w:rPr>
                <w:u w:val="single"/>
              </w:rPr>
              <w:t xml:space="preserve"> </w:t>
            </w:r>
            <w:r w:rsidRPr="007D0977">
              <w:rPr>
                <w:sz w:val="16"/>
                <w:szCs w:val="16"/>
                <w:u w:val="single"/>
              </w:rPr>
              <w:t xml:space="preserve">(vgl. Hinter dem Horizont, </w:t>
            </w:r>
            <w:proofErr w:type="spellStart"/>
            <w:r w:rsidRPr="007D0977">
              <w:rPr>
                <w:sz w:val="16"/>
                <w:szCs w:val="16"/>
                <w:u w:val="single"/>
              </w:rPr>
              <w:t>rpi</w:t>
            </w:r>
            <w:proofErr w:type="spellEnd"/>
            <w:r w:rsidRPr="007D0977">
              <w:rPr>
                <w:sz w:val="16"/>
                <w:szCs w:val="16"/>
                <w:u w:val="single"/>
              </w:rPr>
              <w:t xml:space="preserve">, </w:t>
            </w:r>
            <w:r w:rsidR="00C25EC0" w:rsidRPr="007D0977">
              <w:rPr>
                <w:sz w:val="16"/>
                <w:szCs w:val="16"/>
                <w:u w:val="single"/>
              </w:rPr>
              <w:t>Arbeitshilfe Nr. 28, S</w:t>
            </w:r>
            <w:r w:rsidRPr="007D0977">
              <w:rPr>
                <w:sz w:val="16"/>
                <w:szCs w:val="16"/>
                <w:u w:val="single"/>
              </w:rPr>
              <w:t>. 8 ff</w:t>
            </w:r>
            <w:r w:rsidR="00C0572A" w:rsidRPr="007D0977">
              <w:rPr>
                <w:sz w:val="16"/>
                <w:szCs w:val="16"/>
                <w:u w:val="single"/>
              </w:rPr>
              <w:t xml:space="preserve"> und S. 43 ff</w:t>
            </w:r>
            <w:r w:rsidRPr="007D0977">
              <w:rPr>
                <w:sz w:val="16"/>
                <w:szCs w:val="16"/>
                <w:u w:val="single"/>
              </w:rPr>
              <w:t>)</w:t>
            </w:r>
            <w:r w:rsidR="00B347C9" w:rsidRPr="007D0977">
              <w:rPr>
                <w:u w:val="single"/>
              </w:rPr>
              <w:t>:</w:t>
            </w:r>
          </w:p>
          <w:p w:rsidR="00C0572A" w:rsidRPr="0040170D" w:rsidRDefault="006D64B7" w:rsidP="00613E67">
            <w:pPr>
              <w:pStyle w:val="Listenabsatz"/>
              <w:numPr>
                <w:ilvl w:val="0"/>
                <w:numId w:val="15"/>
              </w:numPr>
            </w:pPr>
            <w:r w:rsidRPr="0040170D">
              <w:t xml:space="preserve">Glaube an das ewige Leben „es wird gut“; gutes, gelingendes Leben, das Leben wird bewahrt, nichts geht verloren, </w:t>
            </w:r>
            <w:r w:rsidR="00C0572A" w:rsidRPr="0040170D">
              <w:t>alles ist aufgehoben, bewahrt – verewigt,</w:t>
            </w:r>
          </w:p>
          <w:p w:rsidR="006D64B7" w:rsidRPr="0040170D" w:rsidRDefault="00C0572A" w:rsidP="00613E67">
            <w:pPr>
              <w:pStyle w:val="Listenabsatz"/>
              <w:numPr>
                <w:ilvl w:val="0"/>
                <w:numId w:val="15"/>
              </w:numPr>
            </w:pPr>
            <w:r w:rsidRPr="0040170D">
              <w:t xml:space="preserve">Glaube an </w:t>
            </w:r>
            <w:r w:rsidR="006D64B7" w:rsidRPr="0040170D">
              <w:t>die Auferstehung Jesu und der Gläubigen</w:t>
            </w:r>
            <w:r w:rsidRPr="0040170D">
              <w:t xml:space="preserve">, </w:t>
            </w:r>
            <w:r w:rsidR="006D64B7" w:rsidRPr="0040170D">
              <w:t>„Ich bleibe“, habe eine Zukunft bei und mit Gott, begegne den „Meinen“ wieder</w:t>
            </w:r>
          </w:p>
          <w:p w:rsidR="006D64B7" w:rsidRPr="0040170D" w:rsidRDefault="006D64B7" w:rsidP="00613E67">
            <w:pPr>
              <w:pStyle w:val="Listenabsatz"/>
              <w:numPr>
                <w:ilvl w:val="0"/>
                <w:numId w:val="15"/>
              </w:numPr>
            </w:pPr>
            <w:r w:rsidRPr="0040170D">
              <w:t>Gott hat den Gekreuzigten nicht im Stich gelassen – was mit Jesus begann</w:t>
            </w:r>
            <w:r w:rsidR="00613E67">
              <w:t>,</w:t>
            </w:r>
            <w:r w:rsidRPr="0040170D">
              <w:t xml:space="preserve"> ist auch unsere Zukunft</w:t>
            </w:r>
          </w:p>
          <w:p w:rsidR="00C0572A" w:rsidRDefault="00C0572A" w:rsidP="00613E67">
            <w:pPr>
              <w:pStyle w:val="Listenabsatz"/>
              <w:numPr>
                <w:ilvl w:val="0"/>
                <w:numId w:val="15"/>
              </w:numPr>
            </w:pPr>
            <w:r w:rsidRPr="0040170D">
              <w:t>Das (jüngste) Gericht zeigt die ganze Tragweite des eigenen Lebens, „ich erkenne“, ich kann nichts ve</w:t>
            </w:r>
            <w:r w:rsidR="00C25EC0" w:rsidRPr="0040170D">
              <w:t>r</w:t>
            </w:r>
            <w:r w:rsidRPr="0040170D">
              <w:t xml:space="preserve">stecken, aber </w:t>
            </w:r>
            <w:r w:rsidRPr="0040170D">
              <w:lastRenderedPageBreak/>
              <w:t xml:space="preserve">Gott steht zu mir, ich werde </w:t>
            </w:r>
            <w:r w:rsidRPr="00CF390E">
              <w:t>entlastet, Gott schaut in mein Herz</w:t>
            </w:r>
          </w:p>
          <w:p w:rsidR="00CF390E" w:rsidRDefault="00CF390E" w:rsidP="00613E67">
            <w:pPr>
              <w:pStyle w:val="Listenabsatz"/>
              <w:numPr>
                <w:ilvl w:val="0"/>
                <w:numId w:val="15"/>
              </w:numPr>
            </w:pPr>
            <w:r>
              <w:t>Hoffnung auf eine zukünftige Welt,</w:t>
            </w:r>
            <w:r w:rsidR="00613E67">
              <w:t xml:space="preserve"> </w:t>
            </w:r>
            <w:r w:rsidR="00C0572A" w:rsidRPr="00CF390E">
              <w:t xml:space="preserve">einen Himmel, „die Welt im Frieden“, die Gemeinschaft der Menschen ist von Frieden </w:t>
            </w:r>
            <w:r w:rsidR="00C0572A" w:rsidRPr="0040170D">
              <w:t>und Einigkeit geprägt, alles Negative ist n</w:t>
            </w:r>
            <w:r w:rsidR="00C25EC0" w:rsidRPr="0040170D">
              <w:t>icht mehr, die Menschen leben im</w:t>
            </w:r>
            <w:r w:rsidR="00C0572A" w:rsidRPr="0040170D">
              <w:t xml:space="preserve"> Einklang mit der ganzen Schöpfung</w:t>
            </w:r>
            <w:r w:rsidR="00C25EC0">
              <w:t>.</w:t>
            </w:r>
          </w:p>
          <w:p w:rsidR="00A8691C" w:rsidRPr="00A8691C" w:rsidRDefault="00A8691C" w:rsidP="00613E67">
            <w:pPr>
              <w:ind w:left="360"/>
            </w:pPr>
            <w:r>
              <w:t>…</w:t>
            </w:r>
          </w:p>
          <w:p w:rsidR="00CF390E" w:rsidRPr="00A8691C" w:rsidRDefault="00CF390E" w:rsidP="00CF390E"/>
          <w:p w:rsidR="00CF390E" w:rsidRPr="00CF390E" w:rsidRDefault="00CF390E" w:rsidP="00A8691C">
            <w:pPr>
              <w:pStyle w:val="Listenabsatz"/>
              <w:rPr>
                <w:color w:val="00B050"/>
              </w:rPr>
            </w:pPr>
          </w:p>
        </w:tc>
      </w:tr>
    </w:tbl>
    <w:p w:rsidR="0040170D" w:rsidRDefault="0040170D" w:rsidP="00B347C9">
      <w:pPr>
        <w:pStyle w:val="KeinLeerraum"/>
      </w:pPr>
    </w:p>
    <w:p w:rsidR="00B347C9" w:rsidRPr="00F6519A" w:rsidRDefault="0031013F" w:rsidP="00B347C9">
      <w:pPr>
        <w:pStyle w:val="KeinLeerraum"/>
        <w:rPr>
          <w:rFonts w:ascii="Arial" w:hAnsi="Arial" w:cs="Arial"/>
          <w:sz w:val="16"/>
          <w:szCs w:val="16"/>
          <w:u w:val="single"/>
        </w:rPr>
      </w:pPr>
      <w:r w:rsidRPr="00F6519A">
        <w:rPr>
          <w:rFonts w:ascii="Arial" w:hAnsi="Arial" w:cs="Arial"/>
          <w:sz w:val="16"/>
          <w:szCs w:val="16"/>
          <w:u w:val="single"/>
        </w:rPr>
        <w:t xml:space="preserve">Quelle: </w:t>
      </w:r>
    </w:p>
    <w:p w:rsidR="0031013F" w:rsidRPr="00F6519A" w:rsidRDefault="0031013F" w:rsidP="00B347C9">
      <w:pPr>
        <w:pStyle w:val="KeinLeerraum"/>
        <w:rPr>
          <w:rFonts w:ascii="Arial" w:hAnsi="Arial" w:cs="Arial"/>
          <w:sz w:val="16"/>
          <w:szCs w:val="16"/>
        </w:rPr>
      </w:pPr>
      <w:r w:rsidRPr="00F6519A">
        <w:rPr>
          <w:rFonts w:ascii="Arial" w:hAnsi="Arial" w:cs="Arial"/>
          <w:sz w:val="16"/>
          <w:szCs w:val="16"/>
        </w:rPr>
        <w:t>HAZ/NP: Trauer – Die ersten Schritte bei eine</w:t>
      </w:r>
      <w:r w:rsidR="00B347C9" w:rsidRPr="00F6519A">
        <w:rPr>
          <w:rFonts w:ascii="Arial" w:hAnsi="Arial" w:cs="Arial"/>
          <w:sz w:val="16"/>
          <w:szCs w:val="16"/>
        </w:rPr>
        <w:t>m Todesfall, Hannover, Stand: 28</w:t>
      </w:r>
      <w:r w:rsidRPr="00F6519A">
        <w:rPr>
          <w:rFonts w:ascii="Arial" w:hAnsi="Arial" w:cs="Arial"/>
          <w:sz w:val="16"/>
          <w:szCs w:val="16"/>
        </w:rPr>
        <w:t xml:space="preserve">. </w:t>
      </w:r>
      <w:r w:rsidR="00B347C9" w:rsidRPr="00F6519A">
        <w:rPr>
          <w:rFonts w:ascii="Arial" w:hAnsi="Arial" w:cs="Arial"/>
          <w:sz w:val="16"/>
          <w:szCs w:val="16"/>
        </w:rPr>
        <w:t>März  2013</w:t>
      </w:r>
    </w:p>
    <w:p w:rsidR="00B347C9" w:rsidRPr="00F6519A" w:rsidRDefault="0021693B" w:rsidP="00F6519A">
      <w:pPr>
        <w:pStyle w:val="KeinLeerraum"/>
        <w:tabs>
          <w:tab w:val="left" w:pos="8154"/>
        </w:tabs>
        <w:rPr>
          <w:rFonts w:ascii="Arial" w:hAnsi="Arial" w:cs="Arial"/>
          <w:sz w:val="16"/>
          <w:szCs w:val="16"/>
        </w:rPr>
      </w:pPr>
      <w:proofErr w:type="spellStart"/>
      <w:r w:rsidRPr="00F6519A">
        <w:rPr>
          <w:rFonts w:ascii="Arial" w:hAnsi="Arial" w:cs="Arial"/>
          <w:sz w:val="16"/>
          <w:szCs w:val="16"/>
        </w:rPr>
        <w:t>rpi</w:t>
      </w:r>
      <w:proofErr w:type="spellEnd"/>
      <w:r w:rsidRPr="00F6519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519A">
        <w:rPr>
          <w:rFonts w:ascii="Arial" w:hAnsi="Arial" w:cs="Arial"/>
          <w:sz w:val="16"/>
          <w:szCs w:val="16"/>
        </w:rPr>
        <w:t>Loccum</w:t>
      </w:r>
      <w:proofErr w:type="spellEnd"/>
      <w:r w:rsidRPr="00F6519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F6519A">
        <w:rPr>
          <w:rFonts w:ascii="Arial" w:hAnsi="Arial" w:cs="Arial"/>
          <w:sz w:val="16"/>
          <w:szCs w:val="16"/>
        </w:rPr>
        <w:t>Hinter’m</w:t>
      </w:r>
      <w:proofErr w:type="spellEnd"/>
      <w:r w:rsidRPr="00F6519A">
        <w:rPr>
          <w:rFonts w:ascii="Arial" w:hAnsi="Arial" w:cs="Arial"/>
          <w:sz w:val="16"/>
          <w:szCs w:val="16"/>
        </w:rPr>
        <w:t xml:space="preserve"> Horizont geht’s weiter</w:t>
      </w:r>
      <w:proofErr w:type="gramStart"/>
      <w:r w:rsidRPr="00F6519A">
        <w:rPr>
          <w:rFonts w:ascii="Arial" w:hAnsi="Arial" w:cs="Arial"/>
          <w:sz w:val="16"/>
          <w:szCs w:val="16"/>
        </w:rPr>
        <w:t>?!,</w:t>
      </w:r>
      <w:proofErr w:type="gramEnd"/>
      <w:r w:rsidRPr="00F6519A">
        <w:rPr>
          <w:rFonts w:ascii="Arial" w:hAnsi="Arial" w:cs="Arial"/>
          <w:sz w:val="16"/>
          <w:szCs w:val="16"/>
        </w:rPr>
        <w:t xml:space="preserve"> Arbeitshilfen BBS, Nr. 28, </w:t>
      </w:r>
      <w:proofErr w:type="spellStart"/>
      <w:r w:rsidRPr="00F6519A">
        <w:rPr>
          <w:rFonts w:ascii="Arial" w:hAnsi="Arial" w:cs="Arial"/>
          <w:sz w:val="16"/>
          <w:szCs w:val="16"/>
        </w:rPr>
        <w:t>Loccum</w:t>
      </w:r>
      <w:proofErr w:type="spellEnd"/>
      <w:r w:rsidRPr="00F6519A">
        <w:rPr>
          <w:rFonts w:ascii="Arial" w:hAnsi="Arial" w:cs="Arial"/>
          <w:sz w:val="16"/>
          <w:szCs w:val="16"/>
        </w:rPr>
        <w:t xml:space="preserve"> 2009</w:t>
      </w:r>
      <w:r w:rsidR="00F6519A" w:rsidRPr="00F6519A">
        <w:rPr>
          <w:rFonts w:ascii="Arial" w:hAnsi="Arial" w:cs="Arial"/>
          <w:sz w:val="16"/>
          <w:szCs w:val="16"/>
        </w:rPr>
        <w:tab/>
      </w:r>
    </w:p>
    <w:sectPr w:rsidR="00B347C9" w:rsidRPr="00F6519A" w:rsidSect="0040170D">
      <w:headerReference w:type="default" r:id="rId8"/>
      <w:pgSz w:w="16838" w:h="11906" w:orient="landscape" w:code="9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14" w:rsidRDefault="009D5214" w:rsidP="00F6519A">
      <w:pPr>
        <w:spacing w:after="0" w:line="240" w:lineRule="auto"/>
      </w:pPr>
      <w:r>
        <w:separator/>
      </w:r>
    </w:p>
  </w:endnote>
  <w:endnote w:type="continuationSeparator" w:id="0">
    <w:p w:rsidR="009D5214" w:rsidRDefault="009D5214" w:rsidP="00F6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14" w:rsidRDefault="009D5214" w:rsidP="00F6519A">
      <w:pPr>
        <w:spacing w:after="0" w:line="240" w:lineRule="auto"/>
      </w:pPr>
      <w:r>
        <w:separator/>
      </w:r>
    </w:p>
  </w:footnote>
  <w:footnote w:type="continuationSeparator" w:id="0">
    <w:p w:rsidR="009D5214" w:rsidRDefault="009D5214" w:rsidP="00F6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B7" w:rsidRDefault="007C13B7">
    <w:r>
      <w:t>BFS</w:t>
    </w:r>
  </w:p>
  <w:tbl>
    <w:tblPr>
      <w:tblpPr w:leftFromText="141" w:rightFromText="141" w:vertAnchor="page" w:horzAnchor="margin" w:tblpY="541"/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17"/>
      <w:gridCol w:w="3611"/>
      <w:gridCol w:w="7254"/>
      <w:gridCol w:w="2668"/>
    </w:tblGrid>
    <w:tr w:rsidR="00F6519A" w:rsidRPr="00611352" w:rsidTr="00405D61">
      <w:trPr>
        <w:trHeight w:val="296"/>
      </w:trPr>
      <w:tc>
        <w:tcPr>
          <w:tcW w:w="1317" w:type="dxa"/>
          <w:shd w:val="clear" w:color="auto" w:fill="auto"/>
        </w:tcPr>
        <w:p w:rsidR="00F6519A" w:rsidRDefault="00F6519A" w:rsidP="00405D6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7C13B7" w:rsidRPr="00F6519A" w:rsidRDefault="007C13B7" w:rsidP="00405D61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BS</w:t>
          </w:r>
        </w:p>
      </w:tc>
      <w:tc>
        <w:tcPr>
          <w:tcW w:w="3611" w:type="dxa"/>
          <w:shd w:val="clear" w:color="auto" w:fill="auto"/>
        </w:tcPr>
        <w:p w:rsidR="007C13B7" w:rsidRDefault="007C13B7" w:rsidP="00405D6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6519A" w:rsidRPr="00F6519A" w:rsidRDefault="00F6519A" w:rsidP="00405D6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6519A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F6519A" w:rsidRPr="00F6519A" w:rsidRDefault="00F6519A" w:rsidP="00405D6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6519A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7254" w:type="dxa"/>
          <w:shd w:val="clear" w:color="auto" w:fill="auto"/>
        </w:tcPr>
        <w:p w:rsidR="00F6519A" w:rsidRDefault="00F6519A" w:rsidP="00405D61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Lernsituation</w:t>
          </w:r>
          <w:r w:rsidRPr="00F6519A">
            <w:rPr>
              <w:rFonts w:ascii="Arial" w:hAnsi="Arial" w:cs="Arial"/>
              <w:sz w:val="20"/>
              <w:szCs w:val="20"/>
            </w:rPr>
            <w:t xml:space="preserve">: </w:t>
          </w:r>
        </w:p>
        <w:p w:rsidR="00F6519A" w:rsidRDefault="00F6519A" w:rsidP="00405D61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Sterben, Leid und Hoffnung</w:t>
          </w:r>
        </w:p>
        <w:p w:rsidR="00F6519A" w:rsidRPr="00F6519A" w:rsidRDefault="00F6519A" w:rsidP="00405D6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6519A" w:rsidRPr="00F6519A" w:rsidRDefault="00F6519A" w:rsidP="00F6519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6519A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</w:tc>
      <w:tc>
        <w:tcPr>
          <w:tcW w:w="2668" w:type="dxa"/>
          <w:vMerge w:val="restart"/>
          <w:shd w:val="clear" w:color="auto" w:fill="auto"/>
        </w:tcPr>
        <w:p w:rsidR="00F6519A" w:rsidRPr="00611352" w:rsidRDefault="00F6519A" w:rsidP="00611352">
          <w:pPr>
            <w:jc w:val="center"/>
            <w:rPr>
              <w:rFonts w:ascii="Arial" w:hAnsi="Arial" w:cs="Arial"/>
              <w:lang w:val="en-US"/>
            </w:rPr>
          </w:pPr>
          <w:r w:rsidRPr="00F86D66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2CC7D413" wp14:editId="091FA61C">
                <wp:extent cx="961901" cy="743066"/>
                <wp:effectExtent l="0" t="0" r="0" b="0"/>
                <wp:docPr id="1" name="Grafik 1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30" cy="746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611352"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 w:rsidR="00611352"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  <w:r w:rsidR="00611352">
            <w:rPr>
              <w:rStyle w:val="licensetplattr"/>
              <w:sz w:val="12"/>
              <w:szCs w:val="12"/>
              <w:lang w:val="en-US"/>
            </w:rPr>
            <w:t xml:space="preserve"> (via Wikimedia-Commons) / </w:t>
          </w:r>
          <w:proofErr w:type="spellStart"/>
          <w:r w:rsidR="00611352"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 w:rsidR="00611352">
            <w:rPr>
              <w:rStyle w:val="plainlinks"/>
              <w:sz w:val="12"/>
              <w:szCs w:val="12"/>
              <w:lang w:val="en-US"/>
            </w:rPr>
            <w:t>: Creative Commons CC-BY-SA-3.0-de</w:t>
          </w:r>
        </w:p>
      </w:tc>
    </w:tr>
    <w:tr w:rsidR="00F6519A" w:rsidRPr="00831274" w:rsidTr="00405D61">
      <w:trPr>
        <w:trHeight w:val="295"/>
      </w:trPr>
      <w:tc>
        <w:tcPr>
          <w:tcW w:w="4928" w:type="dxa"/>
          <w:gridSpan w:val="2"/>
          <w:shd w:val="clear" w:color="auto" w:fill="auto"/>
        </w:tcPr>
        <w:p w:rsidR="00F6519A" w:rsidRPr="00611352" w:rsidRDefault="00F6519A" w:rsidP="00405D61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6519A" w:rsidRPr="00F6519A" w:rsidRDefault="00F6519A" w:rsidP="00405D61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F6519A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7254" w:type="dxa"/>
          <w:shd w:val="clear" w:color="auto" w:fill="auto"/>
        </w:tcPr>
        <w:p w:rsidR="00F6519A" w:rsidRPr="00F6519A" w:rsidRDefault="00F6519A" w:rsidP="00405D61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  <w:p w:rsidR="00F6519A" w:rsidRPr="00F6519A" w:rsidRDefault="00015FDB" w:rsidP="00094EDD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M03</w:t>
          </w:r>
          <w:r w:rsidR="00F6519A" w:rsidRPr="00F6519A">
            <w:rPr>
              <w:rFonts w:ascii="Arial" w:hAnsi="Arial" w:cs="Arial"/>
              <w:sz w:val="20"/>
              <w:szCs w:val="20"/>
            </w:rPr>
            <w:t>_</w:t>
          </w:r>
          <w:r w:rsidR="00094EDD" w:rsidRPr="00F6519A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094EDD" w:rsidRPr="00F6519A">
            <w:rPr>
              <w:rFonts w:ascii="Arial" w:hAnsi="Arial" w:cs="Arial"/>
              <w:sz w:val="20"/>
              <w:szCs w:val="20"/>
            </w:rPr>
            <w:t>Erwartungshorizont</w:t>
          </w:r>
          <w:r w:rsidR="00094EDD">
            <w:rPr>
              <w:rFonts w:ascii="Arial" w:hAnsi="Arial" w:cs="Arial"/>
              <w:sz w:val="20"/>
              <w:szCs w:val="20"/>
            </w:rPr>
            <w:t>_Experten</w:t>
          </w:r>
          <w:proofErr w:type="spellEnd"/>
        </w:p>
      </w:tc>
      <w:tc>
        <w:tcPr>
          <w:tcW w:w="2668" w:type="dxa"/>
          <w:vMerge/>
          <w:shd w:val="clear" w:color="auto" w:fill="auto"/>
        </w:tcPr>
        <w:p w:rsidR="00F6519A" w:rsidRPr="00831274" w:rsidRDefault="00F6519A" w:rsidP="00405D61">
          <w:pPr>
            <w:pStyle w:val="Kopfzeile"/>
            <w:rPr>
              <w:rFonts w:ascii="Arial" w:hAnsi="Arial" w:cs="Arial"/>
            </w:rPr>
          </w:pPr>
        </w:p>
      </w:tc>
    </w:tr>
  </w:tbl>
  <w:p w:rsidR="00F6519A" w:rsidRPr="00C25EC0" w:rsidRDefault="00F6519A" w:rsidP="00F6519A">
    <w:pPr>
      <w:pStyle w:val="KeinLeerraum"/>
      <w:rPr>
        <w:rFonts w:ascii="Arial" w:hAnsi="Arial" w:cs="Arial"/>
        <w:b/>
        <w:sz w:val="28"/>
        <w:szCs w:val="28"/>
        <w:lang w:eastAsia="de-DE"/>
      </w:rPr>
    </w:pPr>
  </w:p>
  <w:p w:rsidR="00F6519A" w:rsidRDefault="00F651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0"/>
    <w:multiLevelType w:val="hybridMultilevel"/>
    <w:tmpl w:val="969EAF0A"/>
    <w:lvl w:ilvl="0" w:tplc="D6E8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3CF"/>
    <w:multiLevelType w:val="hybridMultilevel"/>
    <w:tmpl w:val="2C3C4072"/>
    <w:lvl w:ilvl="0" w:tplc="1EF28300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D7B"/>
    <w:multiLevelType w:val="hybridMultilevel"/>
    <w:tmpl w:val="E5D6D82C"/>
    <w:lvl w:ilvl="0" w:tplc="1EF28300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034"/>
    <w:multiLevelType w:val="hybridMultilevel"/>
    <w:tmpl w:val="4ADEB91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BAB22E5"/>
    <w:multiLevelType w:val="hybridMultilevel"/>
    <w:tmpl w:val="B9EE6D1A"/>
    <w:lvl w:ilvl="0" w:tplc="1EF28300">
      <w:numFmt w:val="bullet"/>
      <w:lvlText w:val="-"/>
      <w:lvlJc w:val="left"/>
      <w:pPr>
        <w:ind w:left="2520" w:hanging="360"/>
      </w:pPr>
      <w:rPr>
        <w:rFonts w:ascii="Calibr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EFE32F8"/>
    <w:multiLevelType w:val="hybridMultilevel"/>
    <w:tmpl w:val="38B25430"/>
    <w:lvl w:ilvl="0" w:tplc="1EF28300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0975"/>
    <w:multiLevelType w:val="hybridMultilevel"/>
    <w:tmpl w:val="E85811CE"/>
    <w:lvl w:ilvl="0" w:tplc="1EF28300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83A6C"/>
    <w:multiLevelType w:val="hybridMultilevel"/>
    <w:tmpl w:val="20663C9E"/>
    <w:lvl w:ilvl="0" w:tplc="1EF28300">
      <w:numFmt w:val="bullet"/>
      <w:lvlText w:val="-"/>
      <w:lvlJc w:val="left"/>
      <w:pPr>
        <w:ind w:left="1080" w:hanging="360"/>
      </w:pPr>
      <w:rPr>
        <w:rFonts w:ascii="Calibri" w:hAnsi="Calibri" w:cstheme="minorBid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72338E"/>
    <w:multiLevelType w:val="hybridMultilevel"/>
    <w:tmpl w:val="33709BF0"/>
    <w:lvl w:ilvl="0" w:tplc="D6E8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E475F"/>
    <w:multiLevelType w:val="hybridMultilevel"/>
    <w:tmpl w:val="9FD054F6"/>
    <w:lvl w:ilvl="0" w:tplc="1EF28300">
      <w:numFmt w:val="bullet"/>
      <w:lvlText w:val="-"/>
      <w:lvlJc w:val="left"/>
      <w:pPr>
        <w:ind w:left="1080" w:hanging="360"/>
      </w:pPr>
      <w:rPr>
        <w:rFonts w:ascii="Calibr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2C4926"/>
    <w:multiLevelType w:val="hybridMultilevel"/>
    <w:tmpl w:val="E7AE7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75D82"/>
    <w:multiLevelType w:val="hybridMultilevel"/>
    <w:tmpl w:val="B8A8B9A2"/>
    <w:lvl w:ilvl="0" w:tplc="D6E8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23053"/>
    <w:multiLevelType w:val="hybridMultilevel"/>
    <w:tmpl w:val="284E7D76"/>
    <w:lvl w:ilvl="0" w:tplc="1EF28300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B63C6"/>
    <w:multiLevelType w:val="hybridMultilevel"/>
    <w:tmpl w:val="3D460104"/>
    <w:lvl w:ilvl="0" w:tplc="7AF22F7E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70B4E"/>
    <w:multiLevelType w:val="hybridMultilevel"/>
    <w:tmpl w:val="9DAA2C00"/>
    <w:lvl w:ilvl="0" w:tplc="D6E8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71"/>
    <w:rsid w:val="00015FDB"/>
    <w:rsid w:val="00030880"/>
    <w:rsid w:val="00094EDD"/>
    <w:rsid w:val="000B1FEA"/>
    <w:rsid w:val="0019210D"/>
    <w:rsid w:val="00195301"/>
    <w:rsid w:val="0021693B"/>
    <w:rsid w:val="003011A3"/>
    <w:rsid w:val="0031013F"/>
    <w:rsid w:val="003A0E80"/>
    <w:rsid w:val="0040170D"/>
    <w:rsid w:val="00460940"/>
    <w:rsid w:val="005057F4"/>
    <w:rsid w:val="005328C7"/>
    <w:rsid w:val="0059128A"/>
    <w:rsid w:val="005F34C1"/>
    <w:rsid w:val="00611352"/>
    <w:rsid w:val="00613E67"/>
    <w:rsid w:val="006D64B7"/>
    <w:rsid w:val="007C13B7"/>
    <w:rsid w:val="007D0977"/>
    <w:rsid w:val="007D3671"/>
    <w:rsid w:val="0083156E"/>
    <w:rsid w:val="009D5214"/>
    <w:rsid w:val="009D60E4"/>
    <w:rsid w:val="00A8691C"/>
    <w:rsid w:val="00AC70F6"/>
    <w:rsid w:val="00B347C9"/>
    <w:rsid w:val="00BA6784"/>
    <w:rsid w:val="00C0572A"/>
    <w:rsid w:val="00C25EC0"/>
    <w:rsid w:val="00C412FD"/>
    <w:rsid w:val="00C500D4"/>
    <w:rsid w:val="00C73819"/>
    <w:rsid w:val="00C836CF"/>
    <w:rsid w:val="00CF2AC3"/>
    <w:rsid w:val="00CF390E"/>
    <w:rsid w:val="00F6519A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2449"/>
    <w:pPr>
      <w:ind w:left="720"/>
      <w:contextualSpacing/>
    </w:pPr>
  </w:style>
  <w:style w:type="paragraph" w:styleId="KeinLeerraum">
    <w:name w:val="No Spacing"/>
    <w:uiPriority w:val="1"/>
    <w:qFormat/>
    <w:rsid w:val="005328C7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53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328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C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6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19A"/>
  </w:style>
  <w:style w:type="character" w:customStyle="1" w:styleId="licensetplattr">
    <w:name w:val="licensetpl_attr"/>
    <w:basedOn w:val="Absatz-Standardschriftart"/>
    <w:rsid w:val="00611352"/>
  </w:style>
  <w:style w:type="character" w:customStyle="1" w:styleId="plainlinks">
    <w:name w:val="plainlinks"/>
    <w:basedOn w:val="Absatz-Standardschriftart"/>
    <w:rsid w:val="0061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2449"/>
    <w:pPr>
      <w:ind w:left="720"/>
      <w:contextualSpacing/>
    </w:pPr>
  </w:style>
  <w:style w:type="paragraph" w:styleId="KeinLeerraum">
    <w:name w:val="No Spacing"/>
    <w:uiPriority w:val="1"/>
    <w:qFormat/>
    <w:rsid w:val="005328C7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53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328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C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6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19A"/>
  </w:style>
  <w:style w:type="character" w:customStyle="1" w:styleId="licensetplattr">
    <w:name w:val="licensetpl_attr"/>
    <w:basedOn w:val="Absatz-Standardschriftart"/>
    <w:rsid w:val="00611352"/>
  </w:style>
  <w:style w:type="character" w:customStyle="1" w:styleId="plainlinks">
    <w:name w:val="plainlinks"/>
    <w:basedOn w:val="Absatz-Standardschriftart"/>
    <w:rsid w:val="0061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3</cp:revision>
  <dcterms:created xsi:type="dcterms:W3CDTF">2014-06-06T22:13:00Z</dcterms:created>
  <dcterms:modified xsi:type="dcterms:W3CDTF">2014-07-08T22:50:00Z</dcterms:modified>
</cp:coreProperties>
</file>