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5E" w:rsidRPr="00421373" w:rsidRDefault="005A0B5E" w:rsidP="00083997">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Station Nr. </w:t>
      </w:r>
      <w:r>
        <w:rPr>
          <w:rFonts w:ascii="Arial" w:hAnsi="Arial" w:cs="Arial"/>
          <w:b/>
          <w:bCs/>
          <w:sz w:val="28"/>
          <w:szCs w:val="28"/>
        </w:rPr>
        <w:t>5</w:t>
      </w:r>
      <w:r w:rsidRPr="00421373">
        <w:rPr>
          <w:rFonts w:ascii="Arial" w:hAnsi="Arial" w:cs="Arial"/>
          <w:b/>
          <w:bCs/>
          <w:sz w:val="28"/>
          <w:szCs w:val="28"/>
        </w:rPr>
        <w:t xml:space="preserve">: </w:t>
      </w:r>
    </w:p>
    <w:p w:rsidR="005A0B5E" w:rsidRPr="00421373" w:rsidRDefault="005A0B5E" w:rsidP="00083997">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Tod und Trauer im </w:t>
      </w:r>
      <w:r>
        <w:rPr>
          <w:rFonts w:ascii="Arial" w:hAnsi="Arial" w:cs="Arial"/>
          <w:b/>
          <w:bCs/>
          <w:sz w:val="28"/>
          <w:szCs w:val="28"/>
        </w:rPr>
        <w:t>Hinduismus</w:t>
      </w:r>
    </w:p>
    <w:p w:rsidR="004316AC" w:rsidRDefault="004316AC" w:rsidP="00083997">
      <w:pPr>
        <w:spacing w:before="120" w:after="120" w:line="360" w:lineRule="auto"/>
        <w:jc w:val="both"/>
        <w:rPr>
          <w:rFonts w:ascii="Arial" w:eastAsiaTheme="minorEastAsia" w:hAnsi="Arial" w:cs="Times New Roman"/>
          <w:lang w:eastAsia="de-DE"/>
        </w:rPr>
      </w:pPr>
      <w:r w:rsidRPr="004316AC">
        <w:rPr>
          <w:rFonts w:ascii="Arial" w:eastAsiaTheme="minorEastAsia" w:hAnsi="Arial" w:cs="Times New Roman"/>
          <w:lang w:eastAsia="de-DE"/>
        </w:rPr>
        <w:t>Was die verschiedenen Strömungen des Hinduismus eint</w:t>
      </w:r>
      <w:r w:rsidR="00E972D3">
        <w:rPr>
          <w:rFonts w:ascii="Arial" w:eastAsiaTheme="minorEastAsia" w:hAnsi="Arial" w:cs="Times New Roman"/>
          <w:lang w:eastAsia="de-DE"/>
        </w:rPr>
        <w:t>,</w:t>
      </w:r>
      <w:r w:rsidRPr="004316AC">
        <w:rPr>
          <w:rFonts w:ascii="Arial" w:eastAsiaTheme="minorEastAsia" w:hAnsi="Arial" w:cs="Times New Roman"/>
          <w:lang w:eastAsia="de-DE"/>
        </w:rPr>
        <w:t xml:space="preserve"> ist der Glaube an </w:t>
      </w:r>
      <w:proofErr w:type="spellStart"/>
      <w:r w:rsidRPr="004316AC">
        <w:rPr>
          <w:rFonts w:ascii="Arial" w:eastAsiaTheme="minorEastAsia" w:hAnsi="Arial" w:cs="Times New Roman"/>
          <w:i/>
          <w:iCs/>
          <w:lang w:eastAsia="de-DE"/>
        </w:rPr>
        <w:t>Reinkarnation.</w:t>
      </w:r>
      <w:r w:rsidRPr="004316AC">
        <w:rPr>
          <w:rFonts w:ascii="Arial" w:eastAsiaTheme="minorEastAsia" w:hAnsi="Arial" w:cs="Times New Roman"/>
          <w:lang w:eastAsia="de-DE"/>
        </w:rPr>
        <w:t>Damit</w:t>
      </w:r>
      <w:proofErr w:type="spellEnd"/>
      <w:r w:rsidRPr="004316AC">
        <w:rPr>
          <w:rFonts w:ascii="Arial" w:eastAsiaTheme="minorEastAsia" w:hAnsi="Arial" w:cs="Times New Roman"/>
          <w:lang w:eastAsia="de-DE"/>
        </w:rPr>
        <w:t xml:space="preserve"> ist die Wiederverkörperung der Seele nach dem Tod gemeint. Diese Wiedergeburt setzt sich in einem unendlichen Kreislauf fort, der auch </w:t>
      </w:r>
      <w:proofErr w:type="spellStart"/>
      <w:r w:rsidRPr="004316AC">
        <w:rPr>
          <w:rFonts w:ascii="Arial" w:eastAsiaTheme="minorEastAsia" w:hAnsi="Arial" w:cs="Times New Roman"/>
          <w:i/>
          <w:iCs/>
          <w:lang w:eastAsia="de-DE"/>
        </w:rPr>
        <w:t>Samsara</w:t>
      </w:r>
      <w:proofErr w:type="spellEnd"/>
      <w:r w:rsidR="001362C7">
        <w:rPr>
          <w:rFonts w:ascii="Arial" w:eastAsiaTheme="minorEastAsia" w:hAnsi="Arial" w:cs="Times New Roman"/>
          <w:i/>
          <w:iCs/>
          <w:lang w:eastAsia="de-DE"/>
        </w:rPr>
        <w:t xml:space="preserve"> </w:t>
      </w:r>
      <w:r w:rsidRPr="004316AC">
        <w:rPr>
          <w:rFonts w:ascii="Arial" w:eastAsiaTheme="minorEastAsia" w:hAnsi="Arial" w:cs="Times New Roman"/>
          <w:lang w:eastAsia="de-DE"/>
        </w:rPr>
        <w:t>(= Umherirren) genannt wird.</w:t>
      </w:r>
    </w:p>
    <w:p w:rsid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Angetrieben wird er durch das Gesetz des </w:t>
      </w:r>
      <w:proofErr w:type="gramStart"/>
      <w:r w:rsidRPr="004316AC">
        <w:rPr>
          <w:rFonts w:ascii="Arial" w:eastAsiaTheme="minorEastAsia" w:hAnsi="Arial" w:cs="Times New Roman"/>
          <w:i/>
          <w:iCs/>
          <w:lang w:eastAsia="de-DE"/>
        </w:rPr>
        <w:t>Karma</w:t>
      </w:r>
      <w:proofErr w:type="gramEnd"/>
      <w:r w:rsidRPr="004316AC">
        <w:rPr>
          <w:rFonts w:ascii="Arial" w:eastAsiaTheme="minorEastAsia" w:hAnsi="Arial" w:cs="Times New Roman"/>
          <w:i/>
          <w:iCs/>
          <w:lang w:eastAsia="de-DE"/>
        </w:rPr>
        <w:t xml:space="preserve">. </w:t>
      </w:r>
      <w:r w:rsidRPr="004316AC">
        <w:rPr>
          <w:rFonts w:ascii="Arial" w:eastAsiaTheme="minorEastAsia" w:hAnsi="Arial" w:cs="Times New Roman"/>
          <w:lang w:eastAsia="de-DE"/>
        </w:rPr>
        <w:t>Karma heißt „Tat" und wird bezogen auf das menschliche Handeln. Jeder ist für sein Handeln und dessen Wirkung verantwortlich. Die Art der Wiederverkörperung wird durch das Karma, das der Mensch in seinem Leben angehäuft hat</w:t>
      </w:r>
      <w:r w:rsidR="00E972D3">
        <w:rPr>
          <w:rFonts w:ascii="Arial" w:eastAsiaTheme="minorEastAsia" w:hAnsi="Arial" w:cs="Times New Roman"/>
          <w:lang w:eastAsia="de-DE"/>
        </w:rPr>
        <w:t>,</w:t>
      </w:r>
      <w:r w:rsidRPr="004316AC">
        <w:rPr>
          <w:rFonts w:ascii="Arial" w:eastAsiaTheme="minorEastAsia" w:hAnsi="Arial" w:cs="Times New Roman"/>
          <w:lang w:eastAsia="de-DE"/>
        </w:rPr>
        <w:t xml:space="preserve"> bestimmt. Gutes Verhalten erzeugt ein gutes Karma, schlechtes Verhalten ein schlechtes Karma. Aus überwiegend bösen Taten eines Menschen folgt eine Wiedergeburt in ungünstigen Verhältnissen oder sogar als Tier. Man stellt sich vor, dass das Karma nach dem Tod die Seele begleitet und verantwortlich ist für die Form, in der sie sich wieder verkörpert.</w:t>
      </w:r>
    </w:p>
    <w:p w:rsidR="004316AC" w:rsidRP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Die unsterbliche Seele ist das </w:t>
      </w:r>
      <w:r w:rsidRPr="004316AC">
        <w:rPr>
          <w:rFonts w:ascii="Arial" w:eastAsiaTheme="minorEastAsia" w:hAnsi="Arial" w:cs="Times New Roman"/>
          <w:i/>
          <w:iCs/>
          <w:lang w:eastAsia="de-DE"/>
        </w:rPr>
        <w:t xml:space="preserve">Atman (= </w:t>
      </w:r>
      <w:r w:rsidRPr="004316AC">
        <w:rPr>
          <w:rFonts w:ascii="Arial" w:eastAsiaTheme="minorEastAsia" w:hAnsi="Arial" w:cs="Times New Roman"/>
          <w:lang w:eastAsia="de-DE"/>
        </w:rPr>
        <w:t xml:space="preserve">Atem oder eigentliches </w:t>
      </w:r>
      <w:r w:rsidR="001362C7">
        <w:rPr>
          <w:rFonts w:ascii="Arial" w:eastAsiaTheme="minorEastAsia" w:hAnsi="Arial" w:cs="Times New Roman"/>
          <w:lang w:eastAsia="de-DE"/>
        </w:rPr>
        <w:t>Selbst). Das ständige Wiederkom</w:t>
      </w:r>
      <w:r w:rsidRPr="004316AC">
        <w:rPr>
          <w:rFonts w:ascii="Arial" w:eastAsiaTheme="minorEastAsia" w:hAnsi="Arial" w:cs="Times New Roman"/>
          <w:lang w:eastAsia="de-DE"/>
        </w:rPr>
        <w:t>men der Seelen wird so als eine Art Schule der Tugend verstanden. Auch der reinste Lebenswandel führt nur dazu, dass die Seele eine Weile im Reich der Götter weilen kann, bis der gute Karma</w:t>
      </w:r>
      <w:r w:rsidR="00E972D3">
        <w:rPr>
          <w:rFonts w:ascii="Arial" w:eastAsiaTheme="minorEastAsia" w:hAnsi="Arial" w:cs="Times New Roman"/>
          <w:lang w:eastAsia="de-DE"/>
        </w:rPr>
        <w:t>-V</w:t>
      </w:r>
      <w:r>
        <w:rPr>
          <w:rFonts w:ascii="Arial" w:eastAsiaTheme="minorEastAsia" w:hAnsi="Arial" w:cs="Times New Roman"/>
          <w:lang w:eastAsia="de-DE"/>
        </w:rPr>
        <w:t>o</w:t>
      </w:r>
      <w:r w:rsidRPr="004316AC">
        <w:rPr>
          <w:rFonts w:ascii="Arial" w:eastAsiaTheme="minorEastAsia" w:hAnsi="Arial" w:cs="Times New Roman"/>
          <w:lang w:eastAsia="de-DE"/>
        </w:rPr>
        <w:t>rrat aufgebraucht ist und sie wieder verkörpert wird.</w:t>
      </w:r>
    </w:p>
    <w:p w:rsidR="004316AC" w:rsidRP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Der Grundgedanke ist, dass die Lebewesen das Ergebnis ihrer eigenen Taten sind. Die Umstände unseres jetzigen Lebens, Freud und Leid sind das Ergebnis unserer eigenen Taten. So richtet nicht ein Gott über das Leben des Menschen, sondern der Mensch bestimmt sein Schicksal selbst. Erlösung </w:t>
      </w:r>
      <w:r w:rsidRPr="004316AC">
        <w:rPr>
          <w:rFonts w:ascii="Arial" w:eastAsiaTheme="minorEastAsia" w:hAnsi="Arial" w:cs="Times New Roman"/>
          <w:i/>
          <w:iCs/>
          <w:lang w:eastAsia="de-DE"/>
        </w:rPr>
        <w:t>(</w:t>
      </w:r>
      <w:proofErr w:type="spellStart"/>
      <w:r w:rsidRPr="004316AC">
        <w:rPr>
          <w:rFonts w:ascii="Arial" w:eastAsiaTheme="minorEastAsia" w:hAnsi="Arial" w:cs="Times New Roman"/>
          <w:i/>
          <w:iCs/>
          <w:lang w:eastAsia="de-DE"/>
        </w:rPr>
        <w:t>Mokscha</w:t>
      </w:r>
      <w:proofErr w:type="spellEnd"/>
      <w:r w:rsidRPr="004316AC">
        <w:rPr>
          <w:rFonts w:ascii="Arial" w:eastAsiaTheme="minorEastAsia" w:hAnsi="Arial" w:cs="Times New Roman"/>
          <w:i/>
          <w:iCs/>
          <w:lang w:eastAsia="de-DE"/>
        </w:rPr>
        <w:t xml:space="preserve">) </w:t>
      </w:r>
      <w:r w:rsidRPr="004316AC">
        <w:rPr>
          <w:rFonts w:ascii="Arial" w:eastAsiaTheme="minorEastAsia" w:hAnsi="Arial" w:cs="Times New Roman"/>
          <w:lang w:eastAsia="de-DE"/>
        </w:rPr>
        <w:t xml:space="preserve">findet die Seele, wenn sie sich aus dem ewigen Kreislauf der Wiedergeburt befreien und mit dem Göttlichen vereinen kann. </w:t>
      </w:r>
      <w:r w:rsidRPr="004316AC">
        <w:rPr>
          <w:rFonts w:ascii="Arial" w:eastAsiaTheme="minorEastAsia" w:hAnsi="Arial" w:cs="Times New Roman"/>
          <w:i/>
          <w:iCs/>
          <w:lang w:eastAsia="de-DE"/>
        </w:rPr>
        <w:t xml:space="preserve">Brahman </w:t>
      </w:r>
      <w:r w:rsidRPr="004316AC">
        <w:rPr>
          <w:rFonts w:ascii="Arial" w:eastAsiaTheme="minorEastAsia" w:hAnsi="Arial" w:cs="Times New Roman"/>
          <w:lang w:eastAsia="de-DE"/>
        </w:rPr>
        <w:t>heißt der Urgrund alles Seins.</w:t>
      </w:r>
    </w:p>
    <w:p w:rsidR="004316AC" w:rsidRP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Die Erkenntnis, dass Brahman und Atman (das eigentliche Selbst) eins sind führt zur Erlösung von den Einflüssen der Welt und damit von der Anhäufung mit Karma. Man stellt sich diese Erkenntnis vor wie ein Fluss (Atman), der ins Meer (Brahman) fließt und mit ihm eins wird, ohne dabei verloren zu gehen.</w:t>
      </w:r>
    </w:p>
    <w:p w:rsidR="004316AC"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E972D3"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Neben diesem „Weg des Wissens" gibt es noch zwei Wege der Erlösung: </w:t>
      </w:r>
    </w:p>
    <w:p w:rsidR="00E972D3" w:rsidRPr="00E972D3" w:rsidRDefault="004316AC" w:rsidP="00083997">
      <w:pPr>
        <w:pStyle w:val="Listenabsatz"/>
        <w:widowControl w:val="0"/>
        <w:numPr>
          <w:ilvl w:val="0"/>
          <w:numId w:val="1"/>
        </w:numPr>
        <w:kinsoku w:val="0"/>
        <w:overflowPunct w:val="0"/>
        <w:spacing w:before="120" w:after="120" w:line="360" w:lineRule="auto"/>
        <w:jc w:val="both"/>
        <w:textAlignment w:val="baseline"/>
        <w:rPr>
          <w:rFonts w:ascii="Arial" w:eastAsiaTheme="minorEastAsia" w:hAnsi="Arial" w:cs="Times New Roman"/>
          <w:lang w:eastAsia="de-DE"/>
        </w:rPr>
      </w:pPr>
      <w:r w:rsidRPr="00E972D3">
        <w:rPr>
          <w:rFonts w:ascii="Arial" w:eastAsiaTheme="minorEastAsia" w:hAnsi="Arial" w:cs="Times New Roman"/>
          <w:lang w:eastAsia="de-DE"/>
        </w:rPr>
        <w:t xml:space="preserve">den der selbstlosen Tat: </w:t>
      </w:r>
    </w:p>
    <w:p w:rsidR="00E972D3" w:rsidRPr="00E972D3" w:rsidRDefault="004316AC" w:rsidP="00083997">
      <w:pPr>
        <w:pStyle w:val="Listenabsatz"/>
        <w:widowControl w:val="0"/>
        <w:kinsoku w:val="0"/>
        <w:overflowPunct w:val="0"/>
        <w:spacing w:before="120" w:after="120" w:line="360" w:lineRule="auto"/>
        <w:ind w:left="1068"/>
        <w:jc w:val="both"/>
        <w:textAlignment w:val="baseline"/>
        <w:rPr>
          <w:rFonts w:ascii="Arial" w:eastAsiaTheme="minorEastAsia" w:hAnsi="Arial" w:cs="Times New Roman"/>
          <w:lang w:eastAsia="de-DE"/>
        </w:rPr>
      </w:pPr>
      <w:r w:rsidRPr="00E972D3">
        <w:rPr>
          <w:rFonts w:ascii="Arial" w:eastAsiaTheme="minorEastAsia" w:hAnsi="Arial" w:cs="Times New Roman"/>
          <w:lang w:eastAsia="de-DE"/>
        </w:rPr>
        <w:t xml:space="preserve">diese muss aber so beschaffen sein, dass sie nicht wieder Karma anhäuft, also völlig ohne sich an sich selbst oder die Welt zu klammern und </w:t>
      </w:r>
    </w:p>
    <w:p w:rsidR="00E972D3" w:rsidRPr="00E972D3" w:rsidRDefault="004316AC" w:rsidP="00083997">
      <w:pPr>
        <w:pStyle w:val="Listenabsatz"/>
        <w:widowControl w:val="0"/>
        <w:numPr>
          <w:ilvl w:val="0"/>
          <w:numId w:val="1"/>
        </w:numPr>
        <w:kinsoku w:val="0"/>
        <w:overflowPunct w:val="0"/>
        <w:spacing w:before="120" w:after="120" w:line="360" w:lineRule="auto"/>
        <w:jc w:val="both"/>
        <w:textAlignment w:val="baseline"/>
        <w:rPr>
          <w:rFonts w:ascii="Arial" w:eastAsiaTheme="minorEastAsia" w:hAnsi="Arial" w:cs="Times New Roman"/>
          <w:lang w:eastAsia="de-DE"/>
        </w:rPr>
      </w:pPr>
      <w:r w:rsidRPr="00E972D3">
        <w:rPr>
          <w:rFonts w:ascii="Arial" w:eastAsiaTheme="minorEastAsia" w:hAnsi="Arial" w:cs="Times New Roman"/>
          <w:lang w:eastAsia="de-DE"/>
        </w:rPr>
        <w:t>den der liebenden Hingabe an einen Gott</w:t>
      </w:r>
      <w:r w:rsidR="00E972D3" w:rsidRPr="00E972D3">
        <w:rPr>
          <w:rFonts w:ascii="Arial" w:eastAsiaTheme="minorEastAsia" w:hAnsi="Arial" w:cs="Times New Roman"/>
          <w:lang w:eastAsia="de-DE"/>
        </w:rPr>
        <w:t>:</w:t>
      </w:r>
    </w:p>
    <w:p w:rsidR="004316AC" w:rsidRDefault="00E972D3" w:rsidP="00083997">
      <w:pPr>
        <w:pStyle w:val="Listenabsatz"/>
        <w:widowControl w:val="0"/>
        <w:kinsoku w:val="0"/>
        <w:overflowPunct w:val="0"/>
        <w:spacing w:before="120" w:after="120" w:line="360" w:lineRule="auto"/>
        <w:ind w:left="1068"/>
        <w:jc w:val="both"/>
        <w:textAlignment w:val="baseline"/>
        <w:rPr>
          <w:rFonts w:ascii="Arial" w:eastAsiaTheme="minorEastAsia" w:hAnsi="Arial" w:cs="Times New Roman"/>
          <w:lang w:eastAsia="de-DE"/>
        </w:rPr>
      </w:pPr>
      <w:r>
        <w:rPr>
          <w:rFonts w:ascii="Arial" w:eastAsiaTheme="minorEastAsia" w:hAnsi="Arial" w:cs="Times New Roman"/>
          <w:lang w:eastAsia="de-DE"/>
        </w:rPr>
        <w:t xml:space="preserve">dies hat </w:t>
      </w:r>
      <w:r w:rsidR="004316AC" w:rsidRPr="00E972D3">
        <w:rPr>
          <w:rFonts w:ascii="Arial" w:eastAsiaTheme="minorEastAsia" w:hAnsi="Arial" w:cs="Times New Roman"/>
          <w:lang w:eastAsia="de-DE"/>
        </w:rPr>
        <w:t xml:space="preserve">sich erst </w:t>
      </w:r>
      <w:r>
        <w:rPr>
          <w:rFonts w:ascii="Arial" w:eastAsiaTheme="minorEastAsia" w:hAnsi="Arial" w:cs="Times New Roman"/>
          <w:lang w:eastAsia="de-DE"/>
        </w:rPr>
        <w:t>im späten Hinduismus entwickelt</w:t>
      </w:r>
      <w:r w:rsidR="004316AC" w:rsidRPr="00E972D3">
        <w:rPr>
          <w:rFonts w:ascii="Arial" w:eastAsiaTheme="minorEastAsia" w:hAnsi="Arial" w:cs="Times New Roman"/>
          <w:lang w:eastAsia="de-DE"/>
        </w:rPr>
        <w:t>.</w:t>
      </w:r>
    </w:p>
    <w:p w:rsidR="00E972D3" w:rsidRDefault="00E972D3" w:rsidP="00083997">
      <w:pPr>
        <w:pStyle w:val="Listenabsatz"/>
        <w:widowControl w:val="0"/>
        <w:kinsoku w:val="0"/>
        <w:overflowPunct w:val="0"/>
        <w:spacing w:before="120" w:after="120" w:line="360" w:lineRule="auto"/>
        <w:ind w:left="1068"/>
        <w:jc w:val="both"/>
        <w:textAlignment w:val="baseline"/>
        <w:rPr>
          <w:rFonts w:ascii="Arial" w:eastAsiaTheme="minorEastAsia" w:hAnsi="Arial" w:cs="Times New Roman"/>
          <w:lang w:eastAsia="de-DE"/>
        </w:rPr>
      </w:pPr>
    </w:p>
    <w:p w:rsidR="00E972D3"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Wenn ein Mensch verstorben ist, wird er von Angehörigen hergerichtet und in einer Prozession zur Verbrennungsstätte gebracht. Dort werden Gebete zu dem </w:t>
      </w:r>
      <w:r w:rsidRPr="00E972D3">
        <w:rPr>
          <w:rFonts w:ascii="Arial" w:eastAsiaTheme="minorEastAsia" w:hAnsi="Arial" w:cs="Times New Roman"/>
          <w:lang w:eastAsia="de-DE"/>
        </w:rPr>
        <w:t xml:space="preserve">Totengott </w:t>
      </w:r>
      <w:proofErr w:type="spellStart"/>
      <w:r w:rsidRPr="00E972D3">
        <w:rPr>
          <w:rFonts w:ascii="Arial" w:eastAsiaTheme="minorEastAsia" w:hAnsi="Arial" w:cs="Times New Roman"/>
          <w:bCs/>
          <w:lang w:eastAsia="de-DE"/>
        </w:rPr>
        <w:t>und</w:t>
      </w:r>
      <w:r w:rsidRPr="004316AC">
        <w:rPr>
          <w:rFonts w:ascii="Arial" w:eastAsiaTheme="minorEastAsia" w:hAnsi="Arial" w:cs="Times New Roman"/>
          <w:lang w:eastAsia="de-DE"/>
        </w:rPr>
        <w:t>anderen</w:t>
      </w:r>
      <w:proofErr w:type="spellEnd"/>
      <w:r w:rsidRPr="004316AC">
        <w:rPr>
          <w:rFonts w:ascii="Arial" w:eastAsiaTheme="minorEastAsia" w:hAnsi="Arial" w:cs="Times New Roman"/>
          <w:lang w:eastAsia="de-DE"/>
        </w:rPr>
        <w:t xml:space="preserve"> Gottheiten gesprochen, die darum bitten, dem geliebten Verstorbenen beizustehen und ihn ins Reich der Ahnen zu bringen. </w:t>
      </w:r>
    </w:p>
    <w:p w:rsidR="00083997" w:rsidRDefault="00083997"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E972D3" w:rsidRDefault="004316AC"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sidRPr="004316AC">
        <w:rPr>
          <w:rFonts w:ascii="Arial" w:eastAsiaTheme="minorEastAsia" w:hAnsi="Arial" w:cs="Times New Roman"/>
          <w:lang w:eastAsia="de-DE"/>
        </w:rPr>
        <w:t xml:space="preserve">Nach der Verbrennung wird die Asche entweder im Boden vergraben oder einem heiligen Fluss anvertraut. Hindus glauben, dass der Geist des Verstorbenen in den ersten Tagen noch anwesend ist. Daher wird er in einem Ritual, das </w:t>
      </w:r>
      <w:proofErr w:type="spellStart"/>
      <w:r w:rsidRPr="004316AC">
        <w:rPr>
          <w:rFonts w:ascii="Arial" w:eastAsiaTheme="minorEastAsia" w:hAnsi="Arial" w:cs="Times New Roman"/>
          <w:i/>
          <w:iCs/>
          <w:lang w:eastAsia="de-DE"/>
        </w:rPr>
        <w:t>Shradda</w:t>
      </w:r>
      <w:proofErr w:type="spellEnd"/>
      <w:r w:rsidR="001362C7">
        <w:rPr>
          <w:rFonts w:ascii="Arial" w:eastAsiaTheme="minorEastAsia" w:hAnsi="Arial" w:cs="Times New Roman"/>
          <w:i/>
          <w:iCs/>
          <w:lang w:eastAsia="de-DE"/>
        </w:rPr>
        <w:t xml:space="preserve"> </w:t>
      </w:r>
      <w:r w:rsidRPr="004316AC">
        <w:rPr>
          <w:rFonts w:ascii="Arial" w:eastAsiaTheme="minorEastAsia" w:hAnsi="Arial" w:cs="Times New Roman"/>
          <w:lang w:eastAsia="de-DE"/>
        </w:rPr>
        <w:t>heißt mit Speisen versorgt. Neben den Lebensmittelgaben stehen auch Gebete für die Ahnen im Mittelpunkt des Ritus. Er wird von dem ältesten Sohn der Familie vollzogen und während des ersten Jahres an jedem Neumondtag wiederholt. Danach wird der Ritus einmal jährlich durchgeführt.</w:t>
      </w:r>
      <w:r w:rsidR="00083997">
        <w:rPr>
          <w:rFonts w:ascii="Arial" w:eastAsiaTheme="minorEastAsia" w:hAnsi="Arial" w:cs="Times New Roman"/>
          <w:lang w:eastAsia="de-DE"/>
        </w:rPr>
        <w:t xml:space="preserve"> </w:t>
      </w:r>
      <w:r w:rsidR="00E972D3">
        <w:rPr>
          <w:rFonts w:ascii="Arial" w:eastAsiaTheme="minorEastAsia" w:hAnsi="Arial" w:cs="Times New Roman"/>
          <w:lang w:eastAsia="de-DE"/>
        </w:rPr>
        <w:t>Da das Ritual in der Verantwortung des Sohnes liegt, legen viele Hindus so großen Wert auf die Geburt eines männlichen Kindes. Dahinter steht die Befürchtung, dass andernfalls die Verstorbenen für immer Geister bleiben müssen.</w:t>
      </w:r>
    </w:p>
    <w:p w:rsidR="00083997" w:rsidRDefault="00083997"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E972D3" w:rsidRDefault="00E972D3"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r>
        <w:rPr>
          <w:rFonts w:ascii="Arial" w:eastAsiaTheme="minorEastAsia" w:hAnsi="Arial" w:cs="Times New Roman"/>
          <w:lang w:eastAsia="de-DE"/>
        </w:rPr>
        <w:t>Das Sterben oder die Verbrennung an einem heiligen Fluss wie dem Ganges birgt für den gläubigen Hindu eine besondere Chance. Denn dies kann ein entscheidender Schritt aus dem ewigen Kreislauf der Wiedergeburt bedeuten und zur endlichen Erlösung führen. Der Grund dafür liegt in dem Glauben, dass an einer Stelle am Ganges der Gott Shiva selbst weilt und dem Verstorbenen ein erlösendes Mantra ins Ohr flüstert.</w:t>
      </w:r>
    </w:p>
    <w:p w:rsidR="00DB5F33" w:rsidRDefault="00DB5F33" w:rsidP="00083997">
      <w:pPr>
        <w:widowControl w:val="0"/>
        <w:kinsoku w:val="0"/>
        <w:overflowPunct w:val="0"/>
        <w:spacing w:before="120" w:after="120" w:line="360" w:lineRule="auto"/>
        <w:jc w:val="both"/>
        <w:textAlignment w:val="baseline"/>
        <w:rPr>
          <w:rFonts w:ascii="Arial" w:eastAsiaTheme="minorEastAsia" w:hAnsi="Arial" w:cs="Times New Roman"/>
          <w:lang w:eastAsia="de-DE"/>
        </w:rPr>
      </w:pPr>
    </w:p>
    <w:p w:rsidR="00DB5F33" w:rsidRPr="00083997" w:rsidRDefault="00DB5F33" w:rsidP="00083997">
      <w:pPr>
        <w:pStyle w:val="KeinLeerraum"/>
        <w:spacing w:before="120" w:after="120"/>
        <w:jc w:val="both"/>
        <w:rPr>
          <w:rFonts w:ascii="Arial" w:hAnsi="Arial" w:cs="Arial"/>
          <w:sz w:val="16"/>
          <w:szCs w:val="16"/>
        </w:rPr>
      </w:pPr>
      <w:r w:rsidRPr="00083997">
        <w:rPr>
          <w:rFonts w:ascii="Arial" w:eastAsiaTheme="minorEastAsia" w:hAnsi="Arial" w:cs="Arial"/>
          <w:bCs/>
          <w:sz w:val="16"/>
          <w:szCs w:val="16"/>
          <w:lang w:eastAsia="de-DE"/>
        </w:rPr>
        <w:t xml:space="preserve">Quelle: </w:t>
      </w:r>
      <w:r w:rsidR="00083997">
        <w:rPr>
          <w:rFonts w:ascii="Arial" w:eastAsiaTheme="minorEastAsia" w:hAnsi="Arial" w:cs="Arial"/>
          <w:bCs/>
          <w:sz w:val="16"/>
          <w:szCs w:val="16"/>
          <w:lang w:eastAsia="de-DE"/>
        </w:rPr>
        <w:tab/>
      </w:r>
      <w:r w:rsidRPr="00083997">
        <w:rPr>
          <w:rFonts w:ascii="Arial" w:hAnsi="Arial" w:cs="Arial"/>
          <w:sz w:val="16"/>
          <w:szCs w:val="16"/>
        </w:rPr>
        <w:t xml:space="preserve">Evelyn Schneider (Hrsg.): </w:t>
      </w:r>
      <w:proofErr w:type="spellStart"/>
      <w:r w:rsidRPr="00083997">
        <w:rPr>
          <w:rFonts w:ascii="Arial" w:hAnsi="Arial" w:cs="Arial"/>
          <w:sz w:val="16"/>
          <w:szCs w:val="16"/>
        </w:rPr>
        <w:t>Hinter’m</w:t>
      </w:r>
      <w:proofErr w:type="spellEnd"/>
      <w:r w:rsidRPr="00083997">
        <w:rPr>
          <w:rFonts w:ascii="Arial" w:hAnsi="Arial" w:cs="Arial"/>
          <w:sz w:val="16"/>
          <w:szCs w:val="16"/>
        </w:rPr>
        <w:t xml:space="preserve"> Horizont geht’s weiter</w:t>
      </w:r>
      <w:proofErr w:type="gramStart"/>
      <w:r w:rsidRPr="00083997">
        <w:rPr>
          <w:rFonts w:ascii="Arial" w:hAnsi="Arial" w:cs="Arial"/>
          <w:sz w:val="16"/>
          <w:szCs w:val="16"/>
        </w:rPr>
        <w:t>?!,</w:t>
      </w:r>
      <w:proofErr w:type="gramEnd"/>
      <w:r w:rsidR="00083997">
        <w:rPr>
          <w:rFonts w:ascii="Arial" w:hAnsi="Arial" w:cs="Arial"/>
          <w:sz w:val="16"/>
          <w:szCs w:val="16"/>
        </w:rPr>
        <w:t xml:space="preserve"> </w:t>
      </w:r>
      <w:r w:rsidRPr="00083997">
        <w:rPr>
          <w:rFonts w:ascii="Arial" w:hAnsi="Arial" w:cs="Arial"/>
          <w:sz w:val="16"/>
          <w:szCs w:val="16"/>
        </w:rPr>
        <w:t xml:space="preserve">Eine Arbeitshilfe zum Thema Sterben, Tod und Jenseits, </w:t>
      </w:r>
      <w:r w:rsidR="00083997">
        <w:rPr>
          <w:rFonts w:ascii="Arial" w:hAnsi="Arial" w:cs="Arial"/>
          <w:sz w:val="16"/>
          <w:szCs w:val="16"/>
        </w:rPr>
        <w:tab/>
      </w:r>
      <w:r w:rsidRPr="00083997">
        <w:rPr>
          <w:rFonts w:ascii="Arial" w:hAnsi="Arial" w:cs="Arial"/>
          <w:sz w:val="16"/>
          <w:szCs w:val="16"/>
        </w:rPr>
        <w:t xml:space="preserve">RPI </w:t>
      </w:r>
      <w:proofErr w:type="spellStart"/>
      <w:r w:rsidRPr="00083997">
        <w:rPr>
          <w:rFonts w:ascii="Arial" w:hAnsi="Arial" w:cs="Arial"/>
          <w:sz w:val="16"/>
          <w:szCs w:val="16"/>
        </w:rPr>
        <w:t>Loccum</w:t>
      </w:r>
      <w:proofErr w:type="spellEnd"/>
      <w:r w:rsidRPr="00083997">
        <w:rPr>
          <w:rFonts w:ascii="Arial" w:hAnsi="Arial" w:cs="Arial"/>
          <w:sz w:val="16"/>
          <w:szCs w:val="16"/>
        </w:rPr>
        <w:t>, 2009, S. 100</w:t>
      </w:r>
    </w:p>
    <w:sectPr w:rsidR="00DB5F33" w:rsidRPr="00083997" w:rsidSect="004316AC">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FF8" w:rsidRDefault="007B5FF8" w:rsidP="00083997">
      <w:pPr>
        <w:spacing w:after="0" w:line="240" w:lineRule="auto"/>
      </w:pPr>
      <w:r>
        <w:separator/>
      </w:r>
    </w:p>
  </w:endnote>
  <w:endnote w:type="continuationSeparator" w:id="0">
    <w:p w:rsidR="007B5FF8" w:rsidRDefault="007B5FF8" w:rsidP="0008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AA" w:rsidRDefault="004112A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AA" w:rsidRDefault="004112A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AA" w:rsidRDefault="004112A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FF8" w:rsidRDefault="007B5FF8" w:rsidP="00083997">
      <w:pPr>
        <w:spacing w:after="0" w:line="240" w:lineRule="auto"/>
      </w:pPr>
      <w:r>
        <w:separator/>
      </w:r>
    </w:p>
  </w:footnote>
  <w:footnote w:type="continuationSeparator" w:id="0">
    <w:p w:rsidR="007B5FF8" w:rsidRDefault="007B5FF8" w:rsidP="00083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AA" w:rsidRDefault="004112A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5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1910"/>
      <w:gridCol w:w="3118"/>
      <w:gridCol w:w="3403"/>
    </w:tblGrid>
    <w:tr w:rsidR="00083997" w:rsidRPr="001B1C78" w:rsidTr="005868DA">
      <w:trPr>
        <w:trHeight w:val="296"/>
      </w:trPr>
      <w:tc>
        <w:tcPr>
          <w:tcW w:w="1317" w:type="dxa"/>
          <w:shd w:val="clear" w:color="auto" w:fill="auto"/>
        </w:tcPr>
        <w:p w:rsidR="00083997" w:rsidRPr="00A633C0" w:rsidRDefault="00083997" w:rsidP="005868DA">
          <w:pPr>
            <w:pStyle w:val="Kopfzeile"/>
            <w:rPr>
              <w:rFonts w:ascii="Arial" w:hAnsi="Arial" w:cs="Arial"/>
              <w:sz w:val="20"/>
              <w:szCs w:val="20"/>
            </w:rPr>
          </w:pP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BFS</w:t>
          </w: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BS</w:t>
          </w:r>
        </w:p>
      </w:tc>
      <w:tc>
        <w:tcPr>
          <w:tcW w:w="1910" w:type="dxa"/>
          <w:shd w:val="clear" w:color="auto" w:fill="auto"/>
        </w:tcPr>
        <w:p w:rsidR="00083997" w:rsidRPr="00A633C0" w:rsidRDefault="00083997" w:rsidP="005868DA">
          <w:pPr>
            <w:pStyle w:val="Kopfzeile"/>
            <w:rPr>
              <w:rFonts w:ascii="Arial" w:hAnsi="Arial" w:cs="Arial"/>
              <w:sz w:val="20"/>
              <w:szCs w:val="20"/>
            </w:rPr>
          </w:pP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Evangelische /</w:t>
          </w: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Katholische</w:t>
          </w: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Religion</w:t>
          </w:r>
        </w:p>
      </w:tc>
      <w:tc>
        <w:tcPr>
          <w:tcW w:w="3118" w:type="dxa"/>
          <w:shd w:val="clear" w:color="auto" w:fill="auto"/>
        </w:tcPr>
        <w:p w:rsidR="00083997" w:rsidRPr="00A633C0" w:rsidRDefault="00083997" w:rsidP="005868DA">
          <w:pPr>
            <w:pStyle w:val="Kopfzeile"/>
            <w:rPr>
              <w:rFonts w:ascii="Arial" w:hAnsi="Arial" w:cs="Arial"/>
              <w:sz w:val="20"/>
              <w:szCs w:val="20"/>
            </w:rPr>
          </w:pPr>
          <w:r w:rsidRPr="00A633C0">
            <w:rPr>
              <w:rFonts w:ascii="Arial" w:hAnsi="Arial" w:cs="Arial"/>
              <w:sz w:val="20"/>
              <w:szCs w:val="20"/>
            </w:rPr>
            <w:t>Lernsituation:</w:t>
          </w: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Sterben, Leid und Hoffnung:</w:t>
          </w:r>
        </w:p>
        <w:p w:rsidR="00083997" w:rsidRPr="00A633C0" w:rsidRDefault="00083997" w:rsidP="005868DA">
          <w:pPr>
            <w:pStyle w:val="Kopfzeile"/>
            <w:rPr>
              <w:rFonts w:ascii="Arial" w:hAnsi="Arial" w:cs="Arial"/>
              <w:sz w:val="20"/>
              <w:szCs w:val="20"/>
            </w:rPr>
          </w:pPr>
          <w:r w:rsidRPr="00A633C0">
            <w:rPr>
              <w:rFonts w:ascii="Arial" w:hAnsi="Arial" w:cs="Arial"/>
              <w:sz w:val="20"/>
              <w:szCs w:val="20"/>
            </w:rPr>
            <w:t xml:space="preserve"> </w:t>
          </w:r>
        </w:p>
        <w:p w:rsidR="00083997" w:rsidRPr="00A633C0" w:rsidRDefault="00083997" w:rsidP="005868DA">
          <w:pPr>
            <w:pStyle w:val="Kopfzeile"/>
            <w:rPr>
              <w:rFonts w:ascii="Arial" w:hAnsi="Arial" w:cs="Arial"/>
              <w:b/>
              <w:sz w:val="20"/>
              <w:szCs w:val="20"/>
            </w:rPr>
          </w:pPr>
          <w:r w:rsidRPr="00A633C0">
            <w:rPr>
              <w:rFonts w:ascii="Arial" w:hAnsi="Arial" w:cs="Arial"/>
              <w:b/>
              <w:sz w:val="20"/>
              <w:szCs w:val="20"/>
            </w:rPr>
            <w:t>Bestattungsarten</w:t>
          </w:r>
          <w:r w:rsidR="004112AA">
            <w:rPr>
              <w:rFonts w:ascii="Arial" w:hAnsi="Arial" w:cs="Arial"/>
              <w:b/>
              <w:sz w:val="20"/>
              <w:szCs w:val="20"/>
            </w:rPr>
            <w:t xml:space="preserve"> </w:t>
          </w:r>
          <w:r w:rsidR="004112AA">
            <w:rPr>
              <w:rFonts w:ascii="Arial" w:hAnsi="Arial" w:cs="Arial"/>
              <w:sz w:val="20"/>
              <w:szCs w:val="20"/>
            </w:rPr>
            <w:t xml:space="preserve">(Ablauf </w:t>
          </w:r>
          <w:r w:rsidR="004112AA">
            <w:rPr>
              <w:rFonts w:ascii="Arial" w:hAnsi="Arial" w:cs="Arial"/>
              <w:sz w:val="20"/>
              <w:szCs w:val="20"/>
            </w:rPr>
            <w:t>2)</w:t>
          </w:r>
          <w:bookmarkStart w:id="0" w:name="_GoBack"/>
          <w:bookmarkEnd w:id="0"/>
        </w:p>
        <w:p w:rsidR="00083997" w:rsidRPr="00A633C0" w:rsidRDefault="00083997" w:rsidP="005868DA">
          <w:pPr>
            <w:pStyle w:val="Kopfzeile"/>
            <w:rPr>
              <w:rFonts w:ascii="Arial" w:hAnsi="Arial" w:cs="Arial"/>
              <w:b/>
              <w:sz w:val="20"/>
              <w:szCs w:val="20"/>
            </w:rPr>
          </w:pPr>
        </w:p>
      </w:tc>
      <w:tc>
        <w:tcPr>
          <w:tcW w:w="3403" w:type="dxa"/>
          <w:vMerge w:val="restart"/>
          <w:shd w:val="clear" w:color="auto" w:fill="auto"/>
        </w:tcPr>
        <w:p w:rsidR="00083997" w:rsidRPr="001B1C78" w:rsidRDefault="00083997" w:rsidP="005868DA">
          <w:pPr>
            <w:rPr>
              <w:rFonts w:ascii="Arial" w:hAnsi="Arial" w:cs="Arial"/>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36830</wp:posOffset>
                    </wp:positionV>
                    <wp:extent cx="2125345" cy="1114425"/>
                    <wp:effectExtent l="0" t="0" r="825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997" w:rsidRDefault="00083997" w:rsidP="00083997">
                                <w:pPr>
                                  <w:pStyle w:val="KeinLeerraum"/>
                                  <w:jc w:val="center"/>
                                  <w:rPr>
                                    <w:rFonts w:ascii="Arial" w:hAnsi="Arial" w:cs="Arial"/>
                                    <w:sz w:val="12"/>
                                    <w:szCs w:val="12"/>
                                  </w:rPr>
                                </w:pPr>
                                <w:r>
                                  <w:rPr>
                                    <w:noProof/>
                                    <w:lang w:eastAsia="de-DE"/>
                                  </w:rPr>
                                  <w:drawing>
                                    <wp:inline distT="0" distB="0" distL="0" distR="0" wp14:anchorId="7067E146" wp14:editId="5C3A39F5">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083997" w:rsidRPr="001B1C78" w:rsidRDefault="00083997" w:rsidP="00083997">
                                <w:pPr>
                                  <w:pStyle w:val="KeinLeerraum"/>
                                  <w:jc w:val="center"/>
                                  <w:rPr>
                                    <w:rFonts w:ascii="Arial" w:hAnsi="Arial" w:cs="Arial"/>
                                    <w:sz w:val="12"/>
                                    <w:szCs w:val="12"/>
                                  </w:rPr>
                                </w:pPr>
                                <w:r w:rsidRPr="001B1C78">
                                  <w:rPr>
                                    <w:rFonts w:ascii="Arial" w:hAnsi="Arial" w:cs="Arial"/>
                                    <w:sz w:val="12"/>
                                    <w:szCs w:val="12"/>
                                  </w:rPr>
                                  <w:t>Friedhof_Wei%C3%9Fig.JPG?uselang=de</w:t>
                                </w:r>
                              </w:p>
                              <w:p w:rsidR="00083997" w:rsidRDefault="00083997" w:rsidP="000839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2.9pt;width:167.3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" stroked="f">
                    <v:textbox>
                      <w:txbxContent>
                        <w:p w:rsidR="00083997" w:rsidRDefault="00083997" w:rsidP="00083997">
                          <w:pPr>
                            <w:pStyle w:val="KeinLeerraum"/>
                            <w:jc w:val="center"/>
                            <w:rPr>
                              <w:rFonts w:ascii="Arial" w:hAnsi="Arial" w:cs="Arial"/>
                              <w:sz w:val="12"/>
                              <w:szCs w:val="12"/>
                            </w:rPr>
                          </w:pPr>
                          <w:r>
                            <w:rPr>
                              <w:noProof/>
                              <w:lang w:eastAsia="de-DE"/>
                            </w:rPr>
                            <w:drawing>
                              <wp:inline distT="0" distB="0" distL="0" distR="0" wp14:anchorId="7067E146" wp14:editId="5C3A39F5">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3">
                                          <a:extLst>
                                            <a:ext uri="{BEBA8EAE-BF5A-486C-A8C5-ECC9F3942E4B}">
                                              <a14:imgProps xmlns:a14="http://schemas.microsoft.com/office/drawing/2010/main">
                                                <a14:imgLayer r:embed="rId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083997" w:rsidRPr="001B1C78" w:rsidRDefault="00083997" w:rsidP="00083997">
                          <w:pPr>
                            <w:pStyle w:val="KeinLeerraum"/>
                            <w:jc w:val="center"/>
                            <w:rPr>
                              <w:rFonts w:ascii="Arial" w:hAnsi="Arial" w:cs="Arial"/>
                              <w:sz w:val="12"/>
                              <w:szCs w:val="12"/>
                            </w:rPr>
                          </w:pPr>
                          <w:r w:rsidRPr="001B1C78">
                            <w:rPr>
                              <w:rFonts w:ascii="Arial" w:hAnsi="Arial" w:cs="Arial"/>
                              <w:sz w:val="12"/>
                              <w:szCs w:val="12"/>
                            </w:rPr>
                            <w:t>Friedhof_Wei%C3%9Fig.JPG?uselang=de</w:t>
                          </w:r>
                        </w:p>
                        <w:p w:rsidR="00083997" w:rsidRDefault="00083997" w:rsidP="00083997"/>
                      </w:txbxContent>
                    </v:textbox>
                  </v:shape>
                </w:pict>
              </mc:Fallback>
            </mc:AlternateContent>
          </w:r>
        </w:p>
      </w:tc>
    </w:tr>
    <w:tr w:rsidR="00083997" w:rsidRPr="00BF076F" w:rsidTr="005868DA">
      <w:trPr>
        <w:trHeight w:val="295"/>
      </w:trPr>
      <w:tc>
        <w:tcPr>
          <w:tcW w:w="3227" w:type="dxa"/>
          <w:gridSpan w:val="2"/>
          <w:shd w:val="clear" w:color="auto" w:fill="auto"/>
        </w:tcPr>
        <w:p w:rsidR="00083997" w:rsidRPr="00A633C0" w:rsidRDefault="00083997" w:rsidP="005868DA">
          <w:pPr>
            <w:pStyle w:val="Kopfzeile"/>
            <w:rPr>
              <w:rFonts w:ascii="Arial" w:hAnsi="Arial" w:cs="Arial"/>
              <w:b/>
              <w:sz w:val="20"/>
              <w:szCs w:val="20"/>
            </w:rPr>
          </w:pPr>
        </w:p>
        <w:p w:rsidR="00083997" w:rsidRPr="00A633C0" w:rsidRDefault="00083997" w:rsidP="005868DA">
          <w:pPr>
            <w:pStyle w:val="Kopfzeile"/>
            <w:rPr>
              <w:rFonts w:ascii="Arial" w:hAnsi="Arial" w:cs="Arial"/>
              <w:b/>
              <w:sz w:val="20"/>
              <w:szCs w:val="20"/>
            </w:rPr>
          </w:pPr>
          <w:r w:rsidRPr="006B798B">
            <w:rPr>
              <w:rFonts w:ascii="Arial" w:hAnsi="Arial" w:cs="Arial"/>
              <w:sz w:val="20"/>
              <w:szCs w:val="20"/>
            </w:rPr>
            <w:t>Niveaustufe 3</w:t>
          </w:r>
        </w:p>
        <w:p w:rsidR="00083997" w:rsidRPr="00A633C0" w:rsidRDefault="00083997" w:rsidP="005868DA">
          <w:pPr>
            <w:pStyle w:val="Kopfzeile"/>
            <w:rPr>
              <w:rFonts w:ascii="Arial" w:hAnsi="Arial" w:cs="Arial"/>
              <w:b/>
              <w:iCs/>
              <w:sz w:val="20"/>
              <w:szCs w:val="20"/>
            </w:rPr>
          </w:pPr>
        </w:p>
      </w:tc>
      <w:tc>
        <w:tcPr>
          <w:tcW w:w="3118" w:type="dxa"/>
          <w:shd w:val="clear" w:color="auto" w:fill="auto"/>
        </w:tcPr>
        <w:p w:rsidR="00083997" w:rsidRPr="00A633C0" w:rsidRDefault="00083997" w:rsidP="005868DA">
          <w:pPr>
            <w:pStyle w:val="Kopfzeile"/>
            <w:rPr>
              <w:rFonts w:ascii="Arial" w:hAnsi="Arial" w:cs="Arial"/>
              <w:b/>
              <w:sz w:val="20"/>
              <w:szCs w:val="20"/>
            </w:rPr>
          </w:pPr>
        </w:p>
        <w:p w:rsidR="00083997" w:rsidRDefault="00083997" w:rsidP="005868DA">
          <w:pPr>
            <w:pStyle w:val="Kopfzeile"/>
            <w:rPr>
              <w:rFonts w:ascii="Arial" w:hAnsi="Arial" w:cs="Arial"/>
              <w:sz w:val="20"/>
              <w:szCs w:val="20"/>
            </w:rPr>
          </w:pPr>
          <w:r>
            <w:rPr>
              <w:rFonts w:ascii="Arial" w:hAnsi="Arial" w:cs="Arial"/>
              <w:sz w:val="20"/>
              <w:szCs w:val="20"/>
            </w:rPr>
            <w:t>M03b5</w:t>
          </w:r>
          <w:r w:rsidRPr="006B798B">
            <w:rPr>
              <w:rFonts w:ascii="Arial" w:hAnsi="Arial" w:cs="Arial"/>
              <w:sz w:val="20"/>
              <w:szCs w:val="20"/>
            </w:rPr>
            <w:t>_</w:t>
          </w:r>
          <w:r>
            <w:rPr>
              <w:rFonts w:ascii="Arial" w:hAnsi="Arial" w:cs="Arial"/>
              <w:sz w:val="20"/>
              <w:szCs w:val="20"/>
            </w:rPr>
            <w:t>Information_Station5_</w:t>
          </w:r>
        </w:p>
        <w:p w:rsidR="00083997" w:rsidRPr="006B798B" w:rsidRDefault="00083997" w:rsidP="00083997">
          <w:pPr>
            <w:pStyle w:val="Kopfzeile"/>
            <w:rPr>
              <w:rFonts w:ascii="Arial" w:hAnsi="Arial" w:cs="Arial"/>
              <w:sz w:val="20"/>
              <w:szCs w:val="20"/>
            </w:rPr>
          </w:pPr>
          <w:r>
            <w:rPr>
              <w:rFonts w:ascii="Arial" w:hAnsi="Arial" w:cs="Arial"/>
              <w:sz w:val="20"/>
              <w:szCs w:val="20"/>
            </w:rPr>
            <w:t>Hinduismus</w:t>
          </w:r>
        </w:p>
      </w:tc>
      <w:tc>
        <w:tcPr>
          <w:tcW w:w="3403" w:type="dxa"/>
          <w:vMerge/>
          <w:shd w:val="clear" w:color="auto" w:fill="auto"/>
        </w:tcPr>
        <w:p w:rsidR="00083997" w:rsidRPr="00BF076F" w:rsidRDefault="00083997" w:rsidP="005868DA">
          <w:pPr>
            <w:pStyle w:val="Kopfzeile"/>
            <w:rPr>
              <w:rFonts w:ascii="Arial" w:hAnsi="Arial" w:cs="Arial"/>
            </w:rPr>
          </w:pPr>
        </w:p>
      </w:tc>
    </w:tr>
  </w:tbl>
  <w:p w:rsidR="00083997" w:rsidRPr="00440814" w:rsidRDefault="00083997" w:rsidP="00083997"/>
  <w:p w:rsidR="00083997" w:rsidRDefault="0008399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2AA" w:rsidRDefault="004112A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F0C3A"/>
    <w:multiLevelType w:val="hybridMultilevel"/>
    <w:tmpl w:val="25F6D214"/>
    <w:lvl w:ilvl="0" w:tplc="EAA208C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90"/>
    <w:rsid w:val="00083997"/>
    <w:rsid w:val="001362C7"/>
    <w:rsid w:val="002B6B11"/>
    <w:rsid w:val="004112AA"/>
    <w:rsid w:val="00416410"/>
    <w:rsid w:val="004316AC"/>
    <w:rsid w:val="004E1457"/>
    <w:rsid w:val="00534869"/>
    <w:rsid w:val="005A0B5E"/>
    <w:rsid w:val="007B5FF8"/>
    <w:rsid w:val="007C3ACA"/>
    <w:rsid w:val="00895816"/>
    <w:rsid w:val="009E17C5"/>
    <w:rsid w:val="00AB7390"/>
    <w:rsid w:val="00AE48EA"/>
    <w:rsid w:val="00C3685E"/>
    <w:rsid w:val="00CC0B17"/>
    <w:rsid w:val="00D26262"/>
    <w:rsid w:val="00DB5F33"/>
    <w:rsid w:val="00E972D3"/>
    <w:rsid w:val="00EC2F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7C3ACA"/>
    <w:pPr>
      <w:spacing w:after="0" w:line="240" w:lineRule="auto"/>
    </w:pPr>
  </w:style>
  <w:style w:type="paragraph" w:styleId="Kopfzeile">
    <w:name w:val="header"/>
    <w:basedOn w:val="Standard"/>
    <w:link w:val="KopfzeileZchn"/>
    <w:rsid w:val="005A0B5E"/>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5A0B5E"/>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E972D3"/>
    <w:pPr>
      <w:ind w:left="720"/>
      <w:contextualSpacing/>
    </w:pPr>
  </w:style>
  <w:style w:type="paragraph" w:styleId="Fuzeile">
    <w:name w:val="footer"/>
    <w:basedOn w:val="Standard"/>
    <w:link w:val="FuzeileZchn"/>
    <w:uiPriority w:val="99"/>
    <w:unhideWhenUsed/>
    <w:rsid w:val="000839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9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7C3ACA"/>
    <w:pPr>
      <w:spacing w:after="0" w:line="240" w:lineRule="auto"/>
    </w:pPr>
  </w:style>
  <w:style w:type="paragraph" w:styleId="Kopfzeile">
    <w:name w:val="header"/>
    <w:basedOn w:val="Standard"/>
    <w:link w:val="KopfzeileZchn"/>
    <w:rsid w:val="005A0B5E"/>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5A0B5E"/>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E972D3"/>
    <w:pPr>
      <w:ind w:left="720"/>
      <w:contextualSpacing/>
    </w:pPr>
  </w:style>
  <w:style w:type="paragraph" w:styleId="Fuzeile">
    <w:name w:val="footer"/>
    <w:basedOn w:val="Standard"/>
    <w:link w:val="FuzeileZchn"/>
    <w:uiPriority w:val="99"/>
    <w:unhideWhenUsed/>
    <w:rsid w:val="000839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1.wdp"/><Relationship Id="rId1" Type="http://schemas.openxmlformats.org/officeDocument/2006/relationships/image" Target="media/image1.jpeg"/><Relationship Id="rId4" Type="http://schemas.microsoft.com/office/2007/relationships/hdphoto" Target="media/hdphoto10.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3426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RS</cp:lastModifiedBy>
  <cp:revision>3</cp:revision>
  <dcterms:created xsi:type="dcterms:W3CDTF">2014-06-08T20:32:00Z</dcterms:created>
  <dcterms:modified xsi:type="dcterms:W3CDTF">2014-06-09T11:55:00Z</dcterms:modified>
</cp:coreProperties>
</file>