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5540" w:rsidRPr="00421373" w:rsidRDefault="00705540" w:rsidP="00BF03D6">
      <w:pPr>
        <w:spacing w:before="120" w:after="120" w:line="360" w:lineRule="auto"/>
        <w:jc w:val="both"/>
        <w:rPr>
          <w:rFonts w:ascii="Arial" w:hAnsi="Arial" w:cs="Arial"/>
          <w:b/>
          <w:bCs/>
          <w:sz w:val="28"/>
          <w:szCs w:val="28"/>
        </w:rPr>
      </w:pPr>
      <w:r w:rsidRPr="00421373">
        <w:rPr>
          <w:rFonts w:ascii="Arial" w:hAnsi="Arial" w:cs="Arial"/>
          <w:b/>
          <w:bCs/>
          <w:sz w:val="28"/>
          <w:szCs w:val="28"/>
        </w:rPr>
        <w:t xml:space="preserve">Station Nr. </w:t>
      </w:r>
      <w:r>
        <w:rPr>
          <w:rFonts w:ascii="Arial" w:hAnsi="Arial" w:cs="Arial"/>
          <w:b/>
          <w:bCs/>
          <w:sz w:val="28"/>
          <w:szCs w:val="28"/>
        </w:rPr>
        <w:t>2</w:t>
      </w:r>
      <w:r w:rsidR="00017CD8">
        <w:rPr>
          <w:rFonts w:ascii="Arial" w:hAnsi="Arial" w:cs="Arial"/>
          <w:b/>
          <w:bCs/>
          <w:sz w:val="28"/>
          <w:szCs w:val="28"/>
        </w:rPr>
        <w:t>:</w:t>
      </w:r>
    </w:p>
    <w:p w:rsidR="00705540" w:rsidRPr="00421373" w:rsidRDefault="00705540" w:rsidP="00BF03D6">
      <w:pPr>
        <w:spacing w:before="120" w:after="120" w:line="360" w:lineRule="auto"/>
        <w:jc w:val="both"/>
        <w:rPr>
          <w:rFonts w:ascii="Arial" w:hAnsi="Arial" w:cs="Arial"/>
          <w:b/>
          <w:bCs/>
          <w:sz w:val="28"/>
          <w:szCs w:val="28"/>
        </w:rPr>
      </w:pPr>
      <w:r w:rsidRPr="00421373">
        <w:rPr>
          <w:rFonts w:ascii="Arial" w:hAnsi="Arial" w:cs="Arial"/>
          <w:b/>
          <w:bCs/>
          <w:sz w:val="28"/>
          <w:szCs w:val="28"/>
        </w:rPr>
        <w:t xml:space="preserve">Tod und Trauer im </w:t>
      </w:r>
      <w:r>
        <w:rPr>
          <w:rFonts w:ascii="Arial" w:hAnsi="Arial" w:cs="Arial"/>
          <w:b/>
          <w:bCs/>
          <w:sz w:val="28"/>
          <w:szCs w:val="28"/>
        </w:rPr>
        <w:t>Judentum</w:t>
      </w:r>
    </w:p>
    <w:p w:rsidR="00AA52C3" w:rsidRDefault="00AA52C3" w:rsidP="00BF03D6">
      <w:pPr>
        <w:spacing w:before="120" w:after="120" w:line="360" w:lineRule="auto"/>
        <w:jc w:val="both"/>
        <w:rPr>
          <w:rFonts w:ascii="Arial" w:eastAsiaTheme="minorEastAsia" w:hAnsi="Arial" w:cs="Times New Roman"/>
          <w:bCs/>
          <w:lang w:eastAsia="de-DE"/>
        </w:rPr>
      </w:pPr>
      <w:r w:rsidRPr="00AA52C3">
        <w:rPr>
          <w:rFonts w:ascii="Arial" w:eastAsiaTheme="minorEastAsia" w:hAnsi="Arial" w:cs="Times New Roman"/>
          <w:lang w:eastAsia="de-DE"/>
        </w:rPr>
        <w:t xml:space="preserve">Im Laufe der Geschichte verändern sich die Vorstellungen über eine Weiterexistenz nach dem Tod. Im frühen </w:t>
      </w:r>
      <w:r w:rsidRPr="00AA52C3">
        <w:rPr>
          <w:rFonts w:ascii="Arial" w:eastAsiaTheme="minorEastAsia" w:hAnsi="Arial" w:cs="Times New Roman"/>
          <w:bCs/>
          <w:lang w:eastAsia="de-DE"/>
        </w:rPr>
        <w:t xml:space="preserve">Judentum gab es noch keine klare Vorstellung über eine Weiterexistenz nach dem Tod. Der Tod galt als vollständige Aufhebung aller Beziehungen: der zur Mitwelt und der zu Gott. Der Mensch kommt nach dem Leben in die </w:t>
      </w:r>
      <w:r w:rsidRPr="00AA52C3">
        <w:rPr>
          <w:rFonts w:ascii="Arial" w:eastAsiaTheme="minorEastAsia" w:hAnsi="Arial" w:cs="Times New Roman"/>
          <w:bCs/>
          <w:i/>
          <w:iCs/>
          <w:lang w:eastAsia="de-DE"/>
        </w:rPr>
        <w:t xml:space="preserve">Med. </w:t>
      </w:r>
      <w:r w:rsidRPr="00AA52C3">
        <w:rPr>
          <w:rFonts w:ascii="Arial" w:eastAsiaTheme="minorEastAsia" w:hAnsi="Arial" w:cs="Times New Roman"/>
          <w:bCs/>
          <w:lang w:eastAsia="de-DE"/>
        </w:rPr>
        <w:t>Das ist ein von</w:t>
      </w:r>
      <w:r w:rsidR="00017CD8">
        <w:rPr>
          <w:rFonts w:ascii="Arial" w:eastAsiaTheme="minorEastAsia" w:hAnsi="Arial" w:cs="Times New Roman"/>
          <w:bCs/>
          <w:lang w:eastAsia="de-DE"/>
        </w:rPr>
        <w:t xml:space="preserve"> </w:t>
      </w:r>
      <w:r w:rsidRPr="00AA52C3">
        <w:rPr>
          <w:rFonts w:ascii="Arial" w:eastAsiaTheme="minorEastAsia" w:hAnsi="Arial" w:cs="Times New Roman"/>
          <w:bCs/>
          <w:lang w:eastAsia="de-DE"/>
        </w:rPr>
        <w:t>G</w:t>
      </w:r>
      <w:r>
        <w:rPr>
          <w:rFonts w:ascii="Arial" w:eastAsiaTheme="minorEastAsia" w:hAnsi="Arial" w:cs="Times New Roman"/>
          <w:bCs/>
          <w:lang w:eastAsia="de-DE"/>
        </w:rPr>
        <w:t>ott entferntes „Schattenleben".</w:t>
      </w:r>
    </w:p>
    <w:p w:rsidR="00AA52C3" w:rsidRDefault="00AA52C3" w:rsidP="00BF03D6">
      <w:pPr>
        <w:widowControl w:val="0"/>
        <w:kinsoku w:val="0"/>
        <w:overflowPunct w:val="0"/>
        <w:spacing w:before="120" w:after="120" w:line="360" w:lineRule="auto"/>
        <w:jc w:val="both"/>
        <w:textAlignment w:val="baseline"/>
        <w:rPr>
          <w:rFonts w:ascii="Arial" w:eastAsiaTheme="minorEastAsia" w:hAnsi="Arial" w:cs="Times New Roman"/>
          <w:bCs/>
          <w:lang w:eastAsia="de-DE"/>
        </w:rPr>
      </w:pPr>
      <w:r w:rsidRPr="00AA52C3">
        <w:rPr>
          <w:rFonts w:ascii="Arial" w:eastAsiaTheme="minorEastAsia" w:hAnsi="Arial" w:cs="Times New Roman"/>
          <w:bCs/>
          <w:lang w:eastAsia="de-DE"/>
        </w:rPr>
        <w:t xml:space="preserve">In späterer Zeit konkretisieren sich Vorstellungen der leiblichen Auferstehung, auch die Vorstellung eines Endgerichts, das über den Verbleib entweder im Paradies (Garten Eden) oder in der </w:t>
      </w:r>
      <w:r w:rsidRPr="00AA52C3">
        <w:rPr>
          <w:rFonts w:ascii="Arial" w:eastAsiaTheme="minorEastAsia" w:hAnsi="Arial" w:cs="Times New Roman"/>
          <w:bCs/>
          <w:i/>
          <w:iCs/>
          <w:lang w:eastAsia="de-DE"/>
        </w:rPr>
        <w:t xml:space="preserve">Gehenna </w:t>
      </w:r>
      <w:r w:rsidRPr="00AA52C3">
        <w:rPr>
          <w:rFonts w:ascii="Arial" w:eastAsiaTheme="minorEastAsia" w:hAnsi="Arial" w:cs="Times New Roman"/>
          <w:bCs/>
          <w:lang w:eastAsia="de-DE"/>
        </w:rPr>
        <w:t>(Ort der Qual) entscheidet. Zwar kommt im Alten Testament dem Leben im Diesseits ein Vorrang gegenüber dem Tod zu, doch ist die Auferstehungshoffnung, bzw. die Vorstellung eines jenseitigen Lebens bei Gott heute vorherrschend.</w:t>
      </w:r>
    </w:p>
    <w:p w:rsidR="00AA52C3" w:rsidRDefault="00AA52C3" w:rsidP="00BF03D6">
      <w:pPr>
        <w:widowControl w:val="0"/>
        <w:kinsoku w:val="0"/>
        <w:overflowPunct w:val="0"/>
        <w:spacing w:before="120" w:after="120" w:line="360" w:lineRule="auto"/>
        <w:jc w:val="both"/>
        <w:textAlignment w:val="baseline"/>
        <w:rPr>
          <w:rFonts w:ascii="Arial" w:eastAsiaTheme="minorEastAsia" w:hAnsi="Arial" w:cs="Times New Roman"/>
          <w:bCs/>
          <w:lang w:eastAsia="de-DE"/>
        </w:rPr>
      </w:pPr>
      <w:r w:rsidRPr="00AA52C3">
        <w:rPr>
          <w:rFonts w:ascii="Arial" w:eastAsiaTheme="minorEastAsia" w:hAnsi="Arial" w:cs="Times New Roman"/>
          <w:bCs/>
          <w:lang w:eastAsia="de-DE"/>
        </w:rPr>
        <w:t xml:space="preserve">Sie entwickelte sich verstärkt im </w:t>
      </w:r>
      <w:proofErr w:type="spellStart"/>
      <w:r w:rsidRPr="00AA52C3">
        <w:rPr>
          <w:rFonts w:ascii="Arial" w:eastAsiaTheme="minorEastAsia" w:hAnsi="Arial" w:cs="Times New Roman"/>
          <w:bCs/>
          <w:lang w:eastAsia="de-DE"/>
        </w:rPr>
        <w:t>weisheitlichen</w:t>
      </w:r>
      <w:proofErr w:type="spellEnd"/>
      <w:r w:rsidRPr="00AA52C3">
        <w:rPr>
          <w:rFonts w:ascii="Arial" w:eastAsiaTheme="minorEastAsia" w:hAnsi="Arial" w:cs="Times New Roman"/>
          <w:bCs/>
          <w:lang w:eastAsia="de-DE"/>
        </w:rPr>
        <w:t xml:space="preserve"> Denken etwa 200 v. Chr. aus dem Glauben heraus, dass Gottes Treue zu seiner Schöpfung und seinem Volk auch für die Toten gilt: </w:t>
      </w:r>
      <w:r w:rsidRPr="00AA52C3">
        <w:rPr>
          <w:rFonts w:ascii="Arial" w:eastAsiaTheme="minorEastAsia" w:hAnsi="Arial" w:cs="Times New Roman"/>
          <w:bCs/>
          <w:i/>
          <w:iCs/>
          <w:lang w:eastAsia="de-DE"/>
        </w:rPr>
        <w:t xml:space="preserve">Ehe die Berge wurden und die Welt geschaffen wurde, bist du, Gott von Ewigkeit zu Ewigkeit. </w:t>
      </w:r>
      <w:r w:rsidRPr="00AA52C3">
        <w:rPr>
          <w:rFonts w:ascii="Arial" w:eastAsiaTheme="minorEastAsia" w:hAnsi="Arial" w:cs="Times New Roman"/>
          <w:bCs/>
          <w:lang w:eastAsia="de-DE"/>
        </w:rPr>
        <w:t xml:space="preserve">Du </w:t>
      </w:r>
      <w:r w:rsidRPr="00AA52C3">
        <w:rPr>
          <w:rFonts w:ascii="Arial" w:eastAsiaTheme="minorEastAsia" w:hAnsi="Arial" w:cs="Times New Roman"/>
          <w:bCs/>
          <w:i/>
          <w:iCs/>
          <w:lang w:eastAsia="de-DE"/>
        </w:rPr>
        <w:t xml:space="preserve">lässt die Menschen sterben und sprichst: </w:t>
      </w:r>
      <w:r w:rsidRPr="00AA52C3">
        <w:rPr>
          <w:rFonts w:ascii="Arial" w:eastAsiaTheme="minorEastAsia" w:hAnsi="Arial" w:cs="Times New Roman"/>
          <w:bCs/>
          <w:lang w:eastAsia="de-DE"/>
        </w:rPr>
        <w:t xml:space="preserve">Kommt </w:t>
      </w:r>
      <w:r w:rsidRPr="00AA52C3">
        <w:rPr>
          <w:rFonts w:ascii="Arial" w:eastAsiaTheme="minorEastAsia" w:hAnsi="Arial" w:cs="Times New Roman"/>
          <w:bCs/>
          <w:i/>
          <w:iCs/>
          <w:lang w:eastAsia="de-DE"/>
        </w:rPr>
        <w:t xml:space="preserve">wieder, Menschenkinder, </w:t>
      </w:r>
      <w:r w:rsidRPr="00AA52C3">
        <w:rPr>
          <w:rFonts w:ascii="Arial" w:eastAsiaTheme="minorEastAsia" w:hAnsi="Arial" w:cs="Times New Roman"/>
          <w:bCs/>
          <w:lang w:eastAsia="de-DE"/>
        </w:rPr>
        <w:t>Ps. 90, 3. Die Hoffnung, auch im Tod die Beziehung zu Gott aufrechterhalten zu können ist z.</w:t>
      </w:r>
      <w:r w:rsidR="00017CD8">
        <w:rPr>
          <w:rFonts w:ascii="Arial" w:eastAsiaTheme="minorEastAsia" w:hAnsi="Arial" w:cs="Times New Roman"/>
          <w:bCs/>
          <w:lang w:eastAsia="de-DE"/>
        </w:rPr>
        <w:t xml:space="preserve"> </w:t>
      </w:r>
      <w:r w:rsidRPr="00AA52C3">
        <w:rPr>
          <w:rFonts w:ascii="Arial" w:eastAsiaTheme="minorEastAsia" w:hAnsi="Arial" w:cs="Times New Roman"/>
          <w:bCs/>
          <w:lang w:eastAsia="de-DE"/>
        </w:rPr>
        <w:t>B. ausge</w:t>
      </w:r>
      <w:r w:rsidRPr="00AA52C3">
        <w:rPr>
          <w:rFonts w:ascii="Arial" w:eastAsiaTheme="minorEastAsia" w:hAnsi="Arial" w:cs="Times New Roman"/>
          <w:bCs/>
          <w:lang w:eastAsia="de-DE"/>
        </w:rPr>
        <w:softHyphen/>
        <w:t>drückt in Ps.</w:t>
      </w:r>
      <w:r w:rsidR="00017CD8">
        <w:rPr>
          <w:rFonts w:ascii="Arial" w:eastAsiaTheme="minorEastAsia" w:hAnsi="Arial" w:cs="Times New Roman"/>
          <w:bCs/>
          <w:lang w:eastAsia="de-DE"/>
        </w:rPr>
        <w:t xml:space="preserve"> </w:t>
      </w:r>
      <w:r w:rsidRPr="00AA52C3">
        <w:rPr>
          <w:rFonts w:ascii="Arial" w:eastAsiaTheme="minorEastAsia" w:hAnsi="Arial" w:cs="Times New Roman"/>
          <w:bCs/>
          <w:lang w:eastAsia="de-DE"/>
        </w:rPr>
        <w:t xml:space="preserve">49, 16: </w:t>
      </w:r>
      <w:r w:rsidRPr="00AA52C3">
        <w:rPr>
          <w:rFonts w:ascii="Arial" w:eastAsiaTheme="minorEastAsia" w:hAnsi="Arial" w:cs="Times New Roman"/>
          <w:bCs/>
          <w:i/>
          <w:iCs/>
          <w:lang w:eastAsia="de-DE"/>
        </w:rPr>
        <w:t>Aber Gott wird mich erlösen aus des Todes Gewalt; denn er nimmt mich auf</w:t>
      </w:r>
      <w:r>
        <w:rPr>
          <w:rFonts w:ascii="Arial" w:eastAsiaTheme="minorEastAsia" w:hAnsi="Arial" w:cs="Times New Roman"/>
          <w:bCs/>
          <w:i/>
          <w:iCs/>
          <w:lang w:eastAsia="de-DE"/>
        </w:rPr>
        <w:t>.</w:t>
      </w:r>
      <w:r w:rsidR="00017CD8">
        <w:rPr>
          <w:rFonts w:ascii="Arial" w:eastAsiaTheme="minorEastAsia" w:hAnsi="Arial" w:cs="Times New Roman"/>
          <w:bCs/>
          <w:i/>
          <w:iCs/>
          <w:lang w:eastAsia="de-DE"/>
        </w:rPr>
        <w:t xml:space="preserve"> </w:t>
      </w:r>
      <w:r w:rsidRPr="00AA52C3">
        <w:rPr>
          <w:rFonts w:ascii="Arial" w:eastAsiaTheme="minorEastAsia" w:hAnsi="Arial" w:cs="Times New Roman"/>
          <w:bCs/>
          <w:lang w:eastAsia="de-DE"/>
        </w:rPr>
        <w:t xml:space="preserve">So lehrt das Judentum, dass nach dem Tod </w:t>
      </w:r>
      <w:proofErr w:type="gramStart"/>
      <w:r w:rsidRPr="00AA52C3">
        <w:rPr>
          <w:rFonts w:ascii="Arial" w:eastAsiaTheme="minorEastAsia" w:hAnsi="Arial" w:cs="Times New Roman"/>
          <w:bCs/>
          <w:lang w:eastAsia="de-DE"/>
        </w:rPr>
        <w:t>des</w:t>
      </w:r>
      <w:proofErr w:type="gramEnd"/>
      <w:r w:rsidRPr="00AA52C3">
        <w:rPr>
          <w:rFonts w:ascii="Arial" w:eastAsiaTheme="minorEastAsia" w:hAnsi="Arial" w:cs="Times New Roman"/>
          <w:bCs/>
          <w:lang w:eastAsia="de-DE"/>
        </w:rPr>
        <w:t xml:space="preserve"> Menschenseine Existenz nicht zu Ende ist.</w:t>
      </w:r>
    </w:p>
    <w:p w:rsidR="00BF03D6" w:rsidRPr="00AA52C3" w:rsidRDefault="00BF03D6" w:rsidP="00BF03D6">
      <w:pPr>
        <w:widowControl w:val="0"/>
        <w:kinsoku w:val="0"/>
        <w:overflowPunct w:val="0"/>
        <w:spacing w:before="120" w:after="120" w:line="360" w:lineRule="auto"/>
        <w:jc w:val="both"/>
        <w:textAlignment w:val="baseline"/>
        <w:rPr>
          <w:rFonts w:ascii="Arial" w:eastAsiaTheme="minorEastAsia" w:hAnsi="Arial" w:cs="Times New Roman"/>
          <w:bCs/>
          <w:lang w:eastAsia="de-DE"/>
        </w:rPr>
      </w:pPr>
    </w:p>
    <w:p w:rsidR="00AA52C3" w:rsidRDefault="00AA52C3" w:rsidP="00BF03D6">
      <w:pPr>
        <w:widowControl w:val="0"/>
        <w:kinsoku w:val="0"/>
        <w:overflowPunct w:val="0"/>
        <w:spacing w:before="120" w:after="120" w:line="360" w:lineRule="auto"/>
        <w:jc w:val="both"/>
        <w:textAlignment w:val="baseline"/>
        <w:rPr>
          <w:rFonts w:ascii="Arial" w:eastAsiaTheme="minorEastAsia" w:hAnsi="Arial" w:cs="Times New Roman"/>
          <w:bCs/>
          <w:lang w:eastAsia="de-DE"/>
        </w:rPr>
      </w:pPr>
      <w:r w:rsidRPr="00AA52C3">
        <w:rPr>
          <w:rFonts w:ascii="Arial" w:eastAsiaTheme="minorEastAsia" w:hAnsi="Arial" w:cs="Times New Roman"/>
          <w:bCs/>
          <w:lang w:eastAsia="de-DE"/>
        </w:rPr>
        <w:t>Wenn ein Mensch im Sterben liegt, kommen Angehörige oder Mitglieder der Synagogengemeinde und halten rund um die Uhr bei ihm Wache. Sie beten an seiner statt Psalmen, das Sündenbekenntnis und, möglichst im Moment des Todes das Glau</w:t>
      </w:r>
      <w:r w:rsidRPr="00AA52C3">
        <w:rPr>
          <w:rFonts w:ascii="Arial" w:eastAsiaTheme="minorEastAsia" w:hAnsi="Arial" w:cs="Times New Roman"/>
          <w:bCs/>
          <w:lang w:eastAsia="de-DE"/>
        </w:rPr>
        <w:softHyphen/>
        <w:t xml:space="preserve">bensbekenntnis, das </w:t>
      </w:r>
      <w:proofErr w:type="spellStart"/>
      <w:r w:rsidRPr="00AA52C3">
        <w:rPr>
          <w:rFonts w:ascii="Arial" w:eastAsiaTheme="minorEastAsia" w:hAnsi="Arial" w:cs="Times New Roman"/>
          <w:bCs/>
          <w:i/>
          <w:iCs/>
          <w:lang w:eastAsia="de-DE"/>
        </w:rPr>
        <w:t>Sch'ma</w:t>
      </w:r>
      <w:proofErr w:type="spellEnd"/>
      <w:r w:rsidRPr="00AA52C3">
        <w:rPr>
          <w:rFonts w:ascii="Arial" w:eastAsiaTheme="minorEastAsia" w:hAnsi="Arial" w:cs="Times New Roman"/>
          <w:bCs/>
          <w:i/>
          <w:iCs/>
          <w:lang w:eastAsia="de-DE"/>
        </w:rPr>
        <w:t xml:space="preserve"> Israel (= „Höre, Israel"). </w:t>
      </w:r>
      <w:r w:rsidRPr="00AA52C3">
        <w:rPr>
          <w:rFonts w:ascii="Arial" w:eastAsiaTheme="minorEastAsia" w:hAnsi="Arial" w:cs="Times New Roman"/>
          <w:bCs/>
          <w:lang w:eastAsia="de-DE"/>
        </w:rPr>
        <w:t>Gemeinde</w:t>
      </w:r>
      <w:r w:rsidR="007F783B">
        <w:rPr>
          <w:rFonts w:ascii="Arial" w:eastAsiaTheme="minorEastAsia" w:hAnsi="Arial" w:cs="Times New Roman"/>
          <w:bCs/>
          <w:lang w:eastAsia="de-DE"/>
        </w:rPr>
        <w:t>mitglieder kümmern sich dann um</w:t>
      </w:r>
      <w:r w:rsidRPr="00AA52C3">
        <w:rPr>
          <w:rFonts w:ascii="Arial" w:eastAsiaTheme="minorEastAsia" w:hAnsi="Arial" w:cs="Times New Roman"/>
          <w:bCs/>
          <w:lang w:eastAsia="de-DE"/>
        </w:rPr>
        <w:t xml:space="preserve"> die Versorgung </w:t>
      </w:r>
      <w:r w:rsidRPr="00AA52C3">
        <w:rPr>
          <w:rFonts w:ascii="Arial" w:eastAsiaTheme="minorEastAsia" w:hAnsi="Arial" w:cs="Times New Roman"/>
          <w:lang w:eastAsia="de-DE"/>
        </w:rPr>
        <w:t>des Verstorbenen und die Beerdigung: der Tote wird auf die Erde gelegt und gewaschen und in ein weißes Totengewand (=</w:t>
      </w:r>
      <w:proofErr w:type="spellStart"/>
      <w:r w:rsidRPr="00AA52C3">
        <w:rPr>
          <w:rFonts w:ascii="Arial" w:eastAsiaTheme="minorEastAsia" w:hAnsi="Arial" w:cs="Times New Roman"/>
          <w:lang w:eastAsia="de-DE"/>
        </w:rPr>
        <w:t>Sargenes</w:t>
      </w:r>
      <w:proofErr w:type="spellEnd"/>
      <w:r w:rsidRPr="00AA52C3">
        <w:rPr>
          <w:rFonts w:ascii="Arial" w:eastAsiaTheme="minorEastAsia" w:hAnsi="Arial" w:cs="Times New Roman"/>
          <w:lang w:eastAsia="de-DE"/>
        </w:rPr>
        <w:t xml:space="preserve">) gekleidet. Männliche Tote werden zudem in ihren Gebetsmantel, den </w:t>
      </w:r>
      <w:proofErr w:type="spellStart"/>
      <w:r w:rsidRPr="00AA52C3">
        <w:rPr>
          <w:rFonts w:ascii="Arial" w:eastAsiaTheme="minorEastAsia" w:hAnsi="Arial" w:cs="Times New Roman"/>
          <w:bCs/>
          <w:i/>
          <w:iCs/>
          <w:lang w:eastAsia="de-DE"/>
        </w:rPr>
        <w:t>Tallit</w:t>
      </w:r>
      <w:proofErr w:type="spellEnd"/>
      <w:r w:rsidR="00017CD8">
        <w:rPr>
          <w:rFonts w:ascii="Arial" w:eastAsiaTheme="minorEastAsia" w:hAnsi="Arial" w:cs="Times New Roman"/>
          <w:bCs/>
          <w:i/>
          <w:iCs/>
          <w:lang w:eastAsia="de-DE"/>
        </w:rPr>
        <w:t xml:space="preserve"> </w:t>
      </w:r>
      <w:r w:rsidRPr="00AA52C3">
        <w:rPr>
          <w:rFonts w:ascii="Arial" w:eastAsiaTheme="minorEastAsia" w:hAnsi="Arial" w:cs="Times New Roman"/>
          <w:bCs/>
          <w:lang w:eastAsia="de-DE"/>
        </w:rPr>
        <w:t>gehüllt. Sie werden in einen Sarg gelegt, nur im Staat Israel werden Verstorbene gemäß dem Bibelspruch „... denn Staub bist du und zum Staub sollst du zurückkehren" 1. Mose 3,19 direkt auf dem Erdboden bestattet.</w:t>
      </w:r>
    </w:p>
    <w:p w:rsidR="00BF03D6" w:rsidRDefault="00BF03D6" w:rsidP="00BF03D6">
      <w:pPr>
        <w:widowControl w:val="0"/>
        <w:kinsoku w:val="0"/>
        <w:overflowPunct w:val="0"/>
        <w:spacing w:before="120" w:after="120" w:line="360" w:lineRule="auto"/>
        <w:jc w:val="both"/>
        <w:textAlignment w:val="baseline"/>
        <w:rPr>
          <w:rFonts w:ascii="Arial" w:eastAsiaTheme="minorEastAsia" w:hAnsi="Arial" w:cs="Times New Roman"/>
          <w:bCs/>
          <w:lang w:eastAsia="de-DE"/>
        </w:rPr>
      </w:pPr>
    </w:p>
    <w:p w:rsidR="00962DA9" w:rsidRDefault="00962DA9" w:rsidP="00BF03D6">
      <w:pPr>
        <w:widowControl w:val="0"/>
        <w:kinsoku w:val="0"/>
        <w:overflowPunct w:val="0"/>
        <w:spacing w:before="120" w:after="120" w:line="360" w:lineRule="auto"/>
        <w:jc w:val="both"/>
        <w:textAlignment w:val="baseline"/>
        <w:rPr>
          <w:rFonts w:ascii="Arial" w:eastAsiaTheme="minorEastAsia" w:hAnsi="Arial" w:cs="Times New Roman"/>
          <w:bCs/>
          <w:lang w:eastAsia="de-DE"/>
        </w:rPr>
      </w:pPr>
    </w:p>
    <w:p w:rsidR="00AA52C3" w:rsidRDefault="00AA52C3" w:rsidP="00BF03D6">
      <w:pPr>
        <w:widowControl w:val="0"/>
        <w:kinsoku w:val="0"/>
        <w:overflowPunct w:val="0"/>
        <w:spacing w:before="120" w:after="120" w:line="360" w:lineRule="auto"/>
        <w:jc w:val="both"/>
        <w:textAlignment w:val="baseline"/>
        <w:rPr>
          <w:rFonts w:ascii="Arial" w:eastAsiaTheme="minorEastAsia" w:hAnsi="Arial" w:cs="Times New Roman"/>
          <w:bCs/>
          <w:lang w:eastAsia="de-DE"/>
        </w:rPr>
      </w:pPr>
      <w:r w:rsidRPr="00AA52C3">
        <w:rPr>
          <w:rFonts w:ascii="Arial" w:eastAsiaTheme="minorEastAsia" w:hAnsi="Arial" w:cs="Times New Roman"/>
          <w:bCs/>
          <w:lang w:eastAsia="de-DE"/>
        </w:rPr>
        <w:t>Weil mit dem Tod alle sozialen Unterschiede aufgehoben sind und weil der Tote nun unter Gottes Fürsorge steht, wird dem Toten auch nichts mit ins Grab gegeben. Mit Grabplatten wird ein Gewölbe um den Toten gebildet. Statt Blumen erinnern kleine Steine, die bei jedem Besuch auf die Grabplatte gelegt werden</w:t>
      </w:r>
      <w:r w:rsidR="007F783B">
        <w:rPr>
          <w:rFonts w:ascii="Arial" w:eastAsiaTheme="minorEastAsia" w:hAnsi="Arial" w:cs="Times New Roman"/>
          <w:bCs/>
          <w:lang w:eastAsia="de-DE"/>
        </w:rPr>
        <w:t>,</w:t>
      </w:r>
      <w:r w:rsidRPr="00AA52C3">
        <w:rPr>
          <w:rFonts w:ascii="Arial" w:eastAsiaTheme="minorEastAsia" w:hAnsi="Arial" w:cs="Times New Roman"/>
          <w:bCs/>
          <w:lang w:eastAsia="de-DE"/>
        </w:rPr>
        <w:t xml:space="preserve"> an den Verstorbenen. Eine Kremation kennt das Judentum nicht.</w:t>
      </w:r>
    </w:p>
    <w:p w:rsidR="00AA52C3" w:rsidRDefault="00AA52C3" w:rsidP="00BF03D6">
      <w:pPr>
        <w:widowControl w:val="0"/>
        <w:kinsoku w:val="0"/>
        <w:overflowPunct w:val="0"/>
        <w:spacing w:before="120" w:after="120" w:line="360" w:lineRule="auto"/>
        <w:jc w:val="both"/>
        <w:textAlignment w:val="baseline"/>
        <w:rPr>
          <w:rFonts w:ascii="Arial" w:eastAsiaTheme="minorEastAsia" w:hAnsi="Arial" w:cs="Times New Roman"/>
          <w:bCs/>
          <w:lang w:eastAsia="de-DE"/>
        </w:rPr>
      </w:pPr>
      <w:r w:rsidRPr="00AA52C3">
        <w:rPr>
          <w:rFonts w:ascii="Arial" w:eastAsiaTheme="minorEastAsia" w:hAnsi="Arial" w:cs="Times New Roman"/>
          <w:bCs/>
          <w:lang w:eastAsia="de-DE"/>
        </w:rPr>
        <w:t xml:space="preserve">Für die </w:t>
      </w:r>
      <w:r w:rsidRPr="00AA52C3">
        <w:rPr>
          <w:rFonts w:ascii="Arial" w:eastAsiaTheme="minorEastAsia" w:hAnsi="Arial" w:cs="Times New Roman"/>
          <w:lang w:eastAsia="de-DE"/>
        </w:rPr>
        <w:t xml:space="preserve">Angehörigen </w:t>
      </w:r>
      <w:r w:rsidRPr="00AA52C3">
        <w:rPr>
          <w:rFonts w:ascii="Arial" w:eastAsiaTheme="minorEastAsia" w:hAnsi="Arial" w:cs="Times New Roman"/>
          <w:bCs/>
          <w:lang w:eastAsia="de-DE"/>
        </w:rPr>
        <w:t xml:space="preserve">beginnt nach der Beerdigung eine Trauerwoche, in der </w:t>
      </w:r>
      <w:r w:rsidRPr="007F783B">
        <w:rPr>
          <w:rFonts w:ascii="Arial" w:eastAsiaTheme="minorEastAsia" w:hAnsi="Arial" w:cs="Times New Roman"/>
          <w:bCs/>
          <w:iCs/>
          <w:lang w:eastAsia="de-DE"/>
        </w:rPr>
        <w:t>sie</w:t>
      </w:r>
      <w:r w:rsidR="00017CD8">
        <w:rPr>
          <w:rFonts w:ascii="Arial" w:eastAsiaTheme="minorEastAsia" w:hAnsi="Arial" w:cs="Times New Roman"/>
          <w:bCs/>
          <w:iCs/>
          <w:lang w:eastAsia="de-DE"/>
        </w:rPr>
        <w:t xml:space="preserve"> </w:t>
      </w:r>
      <w:r w:rsidRPr="00AA52C3">
        <w:rPr>
          <w:rFonts w:ascii="Arial" w:eastAsiaTheme="minorEastAsia" w:hAnsi="Arial" w:cs="Times New Roman"/>
          <w:bCs/>
          <w:lang w:eastAsia="de-DE"/>
        </w:rPr>
        <w:t>zu Hause bleiben. Sie beginnt mit dem Essen eines Hühnereis, das als Zeichen der Trauer mit Asche bestreut ist. Während der Woche sitzen die Angehörigen auf niedrigen Stühlen oder auf der Erde, so wie Hiob es getan hat</w:t>
      </w:r>
      <w:r w:rsidR="007F783B">
        <w:rPr>
          <w:rFonts w:ascii="Arial" w:eastAsiaTheme="minorEastAsia" w:hAnsi="Arial" w:cs="Times New Roman"/>
          <w:bCs/>
          <w:lang w:eastAsia="de-DE"/>
        </w:rPr>
        <w:t>.</w:t>
      </w:r>
      <w:r w:rsidRPr="00AA52C3">
        <w:rPr>
          <w:rFonts w:ascii="Arial" w:eastAsiaTheme="minorEastAsia" w:hAnsi="Arial" w:cs="Times New Roman"/>
          <w:bCs/>
          <w:lang w:eastAsia="de-DE"/>
        </w:rPr>
        <w:t xml:space="preserve"> Sie werden </w:t>
      </w:r>
      <w:r w:rsidRPr="00BF03D6">
        <w:rPr>
          <w:rFonts w:ascii="Arial" w:eastAsiaTheme="minorEastAsia" w:hAnsi="Arial" w:cs="Times New Roman"/>
          <w:bCs/>
          <w:lang w:eastAsia="de-DE"/>
        </w:rPr>
        <w:t xml:space="preserve">von </w:t>
      </w:r>
      <w:r w:rsidRPr="00BF03D6">
        <w:rPr>
          <w:rFonts w:ascii="Arial" w:eastAsiaTheme="minorEastAsia" w:hAnsi="Arial" w:cs="Times New Roman"/>
          <w:bCs/>
          <w:iCs/>
          <w:lang w:eastAsia="de-DE"/>
        </w:rPr>
        <w:t xml:space="preserve">Freunden </w:t>
      </w:r>
      <w:r w:rsidRPr="00BF03D6">
        <w:rPr>
          <w:rFonts w:ascii="Arial" w:eastAsiaTheme="minorEastAsia" w:hAnsi="Arial" w:cs="Times New Roman"/>
          <w:bCs/>
          <w:lang w:eastAsia="de-DE"/>
        </w:rPr>
        <w:t xml:space="preserve">und </w:t>
      </w:r>
      <w:r w:rsidRPr="00BF03D6">
        <w:rPr>
          <w:rFonts w:ascii="Arial" w:eastAsiaTheme="minorEastAsia" w:hAnsi="Arial" w:cs="Times New Roman"/>
          <w:bCs/>
          <w:iCs/>
          <w:lang w:eastAsia="de-DE"/>
        </w:rPr>
        <w:t>entfernten</w:t>
      </w:r>
      <w:r w:rsidRPr="00AA52C3">
        <w:rPr>
          <w:rFonts w:ascii="Arial" w:eastAsiaTheme="minorEastAsia" w:hAnsi="Arial" w:cs="Times New Roman"/>
          <w:bCs/>
          <w:i/>
          <w:iCs/>
          <w:lang w:eastAsia="de-DE"/>
        </w:rPr>
        <w:t xml:space="preserve"> </w:t>
      </w:r>
      <w:r w:rsidRPr="00AA52C3">
        <w:rPr>
          <w:rFonts w:ascii="Arial" w:eastAsiaTheme="minorEastAsia" w:hAnsi="Arial" w:cs="Times New Roman"/>
          <w:bCs/>
          <w:lang w:eastAsia="de-DE"/>
        </w:rPr>
        <w:t>Familienmitgliedern mit SpeisenundGetränken versorgt, um selbst ausgiebig trauern zu können. Zudem erhalten sie viel Besuch als Zeichen dafür, dass sie nicht allein sind.</w:t>
      </w:r>
    </w:p>
    <w:p w:rsidR="00AA52C3" w:rsidRDefault="00AA52C3" w:rsidP="00BF03D6">
      <w:pPr>
        <w:widowControl w:val="0"/>
        <w:kinsoku w:val="0"/>
        <w:overflowPunct w:val="0"/>
        <w:spacing w:before="120" w:after="120" w:line="360" w:lineRule="auto"/>
        <w:jc w:val="both"/>
        <w:textAlignment w:val="baseline"/>
        <w:rPr>
          <w:rFonts w:ascii="Arial" w:eastAsiaTheme="minorEastAsia" w:hAnsi="Arial" w:cs="Times New Roman"/>
          <w:bCs/>
          <w:lang w:eastAsia="de-DE"/>
        </w:rPr>
      </w:pPr>
      <w:r w:rsidRPr="00AA52C3">
        <w:rPr>
          <w:rFonts w:ascii="Arial" w:eastAsiaTheme="minorEastAsia" w:hAnsi="Arial" w:cs="Times New Roman"/>
          <w:bCs/>
          <w:lang w:eastAsia="de-DE"/>
        </w:rPr>
        <w:t xml:space="preserve">Immer wieder wird das </w:t>
      </w:r>
      <w:r w:rsidRPr="00AA52C3">
        <w:rPr>
          <w:rFonts w:ascii="Arial" w:eastAsiaTheme="minorEastAsia" w:hAnsi="Arial" w:cs="Times New Roman"/>
          <w:bCs/>
          <w:i/>
          <w:iCs/>
          <w:lang w:eastAsia="de-DE"/>
        </w:rPr>
        <w:t xml:space="preserve">Kaddisch </w:t>
      </w:r>
      <w:r w:rsidRPr="00AA52C3">
        <w:rPr>
          <w:rFonts w:ascii="Arial" w:eastAsiaTheme="minorEastAsia" w:hAnsi="Arial" w:cs="Times New Roman"/>
          <w:bCs/>
          <w:lang w:eastAsia="de-DE"/>
        </w:rPr>
        <w:t xml:space="preserve">gesprochen. </w:t>
      </w:r>
      <w:r w:rsidRPr="00AA52C3">
        <w:rPr>
          <w:rFonts w:ascii="Arial" w:eastAsiaTheme="minorEastAsia" w:hAnsi="Arial" w:cs="Times New Roman"/>
          <w:lang w:eastAsia="de-DE"/>
        </w:rPr>
        <w:t xml:space="preserve">Es </w:t>
      </w:r>
      <w:r w:rsidRPr="00AA52C3">
        <w:rPr>
          <w:rFonts w:ascii="Arial" w:eastAsiaTheme="minorEastAsia" w:hAnsi="Arial" w:cs="Times New Roman"/>
          <w:bCs/>
          <w:i/>
          <w:iCs/>
          <w:lang w:eastAsia="de-DE"/>
        </w:rPr>
        <w:t xml:space="preserve">ist ein </w:t>
      </w:r>
      <w:r w:rsidRPr="00AA52C3">
        <w:rPr>
          <w:rFonts w:ascii="Arial" w:eastAsiaTheme="minorEastAsia" w:hAnsi="Arial" w:cs="Times New Roman"/>
          <w:bCs/>
          <w:lang w:eastAsia="de-DE"/>
        </w:rPr>
        <w:t xml:space="preserve">Gebet zum Lobpreis </w:t>
      </w:r>
      <w:r w:rsidRPr="00AA52C3">
        <w:rPr>
          <w:rFonts w:ascii="Arial" w:eastAsiaTheme="minorEastAsia" w:hAnsi="Arial" w:cs="Times New Roman"/>
          <w:bCs/>
          <w:i/>
          <w:iCs/>
          <w:lang w:eastAsia="de-DE"/>
        </w:rPr>
        <w:t xml:space="preserve">Gottes, das </w:t>
      </w:r>
      <w:r w:rsidRPr="00AA52C3">
        <w:rPr>
          <w:rFonts w:ascii="Arial" w:eastAsiaTheme="minorEastAsia" w:hAnsi="Arial" w:cs="Times New Roman"/>
          <w:bCs/>
          <w:lang w:eastAsia="de-DE"/>
        </w:rPr>
        <w:t>auch im Gottesdienst gesprochen wird. Es soll verdeutlichen, dass sie gerade in Zeiten der seelischen Not Gott preisen, sich zu ihm bekennen und das Unabänderliche von ihm hinnehmen.</w:t>
      </w:r>
    </w:p>
    <w:p w:rsidR="007F783B" w:rsidRDefault="007F783B" w:rsidP="00BF03D6">
      <w:pPr>
        <w:widowControl w:val="0"/>
        <w:kinsoku w:val="0"/>
        <w:overflowPunct w:val="0"/>
        <w:spacing w:before="120" w:after="120" w:line="360" w:lineRule="auto"/>
        <w:jc w:val="both"/>
        <w:textAlignment w:val="baseline"/>
        <w:rPr>
          <w:rFonts w:ascii="Arial" w:eastAsiaTheme="minorEastAsia" w:hAnsi="Arial" w:cs="Times New Roman"/>
          <w:bCs/>
          <w:lang w:eastAsia="de-DE"/>
        </w:rPr>
      </w:pPr>
      <w:r>
        <w:rPr>
          <w:rFonts w:ascii="Arial" w:eastAsiaTheme="minorEastAsia" w:hAnsi="Arial" w:cs="Times New Roman"/>
          <w:bCs/>
          <w:lang w:eastAsia="de-DE"/>
        </w:rPr>
        <w:t>Nach dreißig Tagen ist die Zeit der Trauer vorbei und das Leben soll wieder verlaufen, wie früher. Nur Kinder trauern um ihre Eltern ein Jahr. Nach einem Jahr wird des Verstorbenen noch einmal gedacht indem die Angehörigen das Kaddisch im Gottesdienst beten und für 24 Stunden ein Seelenlicht entzünden.</w:t>
      </w:r>
    </w:p>
    <w:p w:rsidR="007F783B" w:rsidRPr="00BF03D6" w:rsidRDefault="007F783B" w:rsidP="00BF03D6">
      <w:pPr>
        <w:pStyle w:val="KeinLeerraum"/>
        <w:spacing w:before="120" w:after="120"/>
        <w:jc w:val="both"/>
        <w:rPr>
          <w:rFonts w:ascii="Arial" w:hAnsi="Arial" w:cs="Arial"/>
          <w:sz w:val="16"/>
          <w:szCs w:val="16"/>
        </w:rPr>
      </w:pPr>
      <w:r w:rsidRPr="00A11DC1">
        <w:rPr>
          <w:rFonts w:ascii="Arial" w:eastAsiaTheme="minorEastAsia" w:hAnsi="Arial" w:cs="Arial"/>
          <w:bCs/>
          <w:sz w:val="16"/>
          <w:szCs w:val="16"/>
          <w:lang w:eastAsia="de-DE"/>
        </w:rPr>
        <w:t xml:space="preserve">Quelle: </w:t>
      </w:r>
      <w:r w:rsidR="00BF03D6" w:rsidRPr="00A11DC1">
        <w:rPr>
          <w:rFonts w:ascii="Arial" w:eastAsiaTheme="minorEastAsia" w:hAnsi="Arial" w:cs="Arial"/>
          <w:bCs/>
          <w:sz w:val="16"/>
          <w:szCs w:val="16"/>
          <w:lang w:eastAsia="de-DE"/>
        </w:rPr>
        <w:tab/>
      </w:r>
      <w:bookmarkStart w:id="0" w:name="_GoBack"/>
      <w:r w:rsidRPr="00A11DC1">
        <w:rPr>
          <w:rFonts w:ascii="Arial" w:hAnsi="Arial" w:cs="Arial"/>
          <w:sz w:val="16"/>
          <w:szCs w:val="16"/>
        </w:rPr>
        <w:t xml:space="preserve">Evelyn Schneider (Hrsg.): </w:t>
      </w:r>
      <w:proofErr w:type="spellStart"/>
      <w:r w:rsidRPr="00A11DC1">
        <w:rPr>
          <w:rFonts w:ascii="Arial" w:hAnsi="Arial" w:cs="Arial"/>
          <w:sz w:val="16"/>
          <w:szCs w:val="16"/>
        </w:rPr>
        <w:t>Hinter’m</w:t>
      </w:r>
      <w:proofErr w:type="spellEnd"/>
      <w:r w:rsidRPr="00A11DC1">
        <w:rPr>
          <w:rFonts w:ascii="Arial" w:hAnsi="Arial" w:cs="Arial"/>
          <w:sz w:val="16"/>
          <w:szCs w:val="16"/>
        </w:rPr>
        <w:t xml:space="preserve"> Horizont geht’s weiter</w:t>
      </w:r>
      <w:proofErr w:type="gramStart"/>
      <w:r w:rsidRPr="00A11DC1">
        <w:rPr>
          <w:rFonts w:ascii="Arial" w:hAnsi="Arial" w:cs="Arial"/>
          <w:sz w:val="16"/>
          <w:szCs w:val="16"/>
        </w:rPr>
        <w:t>?!,</w:t>
      </w:r>
      <w:proofErr w:type="gramEnd"/>
      <w:r w:rsidR="00BF03D6" w:rsidRPr="00A11DC1">
        <w:rPr>
          <w:rFonts w:ascii="Arial" w:hAnsi="Arial" w:cs="Arial"/>
          <w:sz w:val="16"/>
          <w:szCs w:val="16"/>
        </w:rPr>
        <w:t xml:space="preserve"> </w:t>
      </w:r>
      <w:r w:rsidRPr="00A11DC1">
        <w:rPr>
          <w:rFonts w:ascii="Arial" w:hAnsi="Arial" w:cs="Arial"/>
          <w:sz w:val="16"/>
          <w:szCs w:val="16"/>
        </w:rPr>
        <w:t xml:space="preserve">Eine Arbeitshilfe zum Thema Sterben, Tod und Jenseits, </w:t>
      </w:r>
      <w:r w:rsidR="00BF03D6" w:rsidRPr="00A11DC1">
        <w:rPr>
          <w:rFonts w:ascii="Arial" w:hAnsi="Arial" w:cs="Arial"/>
          <w:sz w:val="16"/>
          <w:szCs w:val="16"/>
        </w:rPr>
        <w:tab/>
      </w:r>
      <w:r w:rsidRPr="00A11DC1">
        <w:rPr>
          <w:rFonts w:ascii="Arial" w:hAnsi="Arial" w:cs="Arial"/>
          <w:sz w:val="16"/>
          <w:szCs w:val="16"/>
        </w:rPr>
        <w:t xml:space="preserve">RPI </w:t>
      </w:r>
      <w:proofErr w:type="spellStart"/>
      <w:r w:rsidRPr="00A11DC1">
        <w:rPr>
          <w:rFonts w:ascii="Arial" w:hAnsi="Arial" w:cs="Arial"/>
          <w:sz w:val="16"/>
          <w:szCs w:val="16"/>
        </w:rPr>
        <w:t>Loccum</w:t>
      </w:r>
      <w:proofErr w:type="spellEnd"/>
      <w:r w:rsidRPr="00BF03D6">
        <w:rPr>
          <w:rFonts w:ascii="Arial" w:hAnsi="Arial" w:cs="Arial"/>
          <w:sz w:val="16"/>
          <w:szCs w:val="16"/>
        </w:rPr>
        <w:t>, 2009, S. 102</w:t>
      </w:r>
      <w:r w:rsidR="00017CD8" w:rsidRPr="00BF03D6">
        <w:rPr>
          <w:rFonts w:ascii="Arial" w:hAnsi="Arial" w:cs="Arial"/>
          <w:sz w:val="16"/>
          <w:szCs w:val="16"/>
        </w:rPr>
        <w:t>.</w:t>
      </w:r>
    </w:p>
    <w:bookmarkEnd w:id="0"/>
    <w:p w:rsidR="00BF03D6" w:rsidRPr="00017152" w:rsidRDefault="00BF03D6">
      <w:pPr>
        <w:pStyle w:val="KeinLeerraum"/>
        <w:spacing w:before="120" w:after="120" w:line="360" w:lineRule="auto"/>
        <w:jc w:val="both"/>
        <w:rPr>
          <w:rFonts w:ascii="Arial" w:hAnsi="Arial" w:cs="Arial"/>
          <w:sz w:val="18"/>
          <w:szCs w:val="18"/>
        </w:rPr>
      </w:pPr>
    </w:p>
    <w:sectPr w:rsidR="00BF03D6" w:rsidRPr="00017152" w:rsidSect="00AA52C3">
      <w:headerReference w:type="even" r:id="rId7"/>
      <w:headerReference w:type="default" r:id="rId8"/>
      <w:footerReference w:type="even" r:id="rId9"/>
      <w:footerReference w:type="default" r:id="rId10"/>
      <w:headerReference w:type="first" r:id="rId11"/>
      <w:footerReference w:type="first" r:id="rId12"/>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58E9" w:rsidRDefault="003558E9" w:rsidP="00BF03D6">
      <w:pPr>
        <w:spacing w:after="0" w:line="240" w:lineRule="auto"/>
      </w:pPr>
      <w:r>
        <w:separator/>
      </w:r>
    </w:p>
  </w:endnote>
  <w:endnote w:type="continuationSeparator" w:id="0">
    <w:p w:rsidR="003558E9" w:rsidRDefault="003558E9" w:rsidP="00BF03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B5C" w:rsidRDefault="005A3B5C">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B5C" w:rsidRDefault="005A3B5C">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B5C" w:rsidRDefault="005A3B5C">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58E9" w:rsidRDefault="003558E9" w:rsidP="00BF03D6">
      <w:pPr>
        <w:spacing w:after="0" w:line="240" w:lineRule="auto"/>
      </w:pPr>
      <w:r>
        <w:separator/>
      </w:r>
    </w:p>
  </w:footnote>
  <w:footnote w:type="continuationSeparator" w:id="0">
    <w:p w:rsidR="003558E9" w:rsidRDefault="003558E9" w:rsidP="00BF03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B5C" w:rsidRDefault="005A3B5C">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1" w:rightFromText="141" w:vertAnchor="page" w:horzAnchor="margin" w:tblpY="541"/>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17"/>
      <w:gridCol w:w="1910"/>
      <w:gridCol w:w="3118"/>
      <w:gridCol w:w="3403"/>
    </w:tblGrid>
    <w:tr w:rsidR="00BF03D6" w:rsidRPr="001B1C78" w:rsidTr="005868DA">
      <w:trPr>
        <w:trHeight w:val="296"/>
      </w:trPr>
      <w:tc>
        <w:tcPr>
          <w:tcW w:w="1317" w:type="dxa"/>
          <w:shd w:val="clear" w:color="auto" w:fill="auto"/>
        </w:tcPr>
        <w:p w:rsidR="00BF03D6" w:rsidRPr="00A633C0" w:rsidRDefault="00BF03D6" w:rsidP="005868DA">
          <w:pPr>
            <w:pStyle w:val="Kopfzeile"/>
            <w:rPr>
              <w:rFonts w:ascii="Arial" w:hAnsi="Arial" w:cs="Arial"/>
              <w:sz w:val="20"/>
              <w:szCs w:val="20"/>
            </w:rPr>
          </w:pPr>
        </w:p>
        <w:p w:rsidR="00BF03D6" w:rsidRPr="00A633C0" w:rsidRDefault="00BF03D6" w:rsidP="005868DA">
          <w:pPr>
            <w:pStyle w:val="Kopfzeile"/>
            <w:rPr>
              <w:rFonts w:ascii="Arial" w:hAnsi="Arial" w:cs="Arial"/>
              <w:sz w:val="20"/>
              <w:szCs w:val="20"/>
            </w:rPr>
          </w:pPr>
          <w:r w:rsidRPr="00A633C0">
            <w:rPr>
              <w:rFonts w:ascii="Arial" w:hAnsi="Arial" w:cs="Arial"/>
              <w:sz w:val="20"/>
              <w:szCs w:val="20"/>
            </w:rPr>
            <w:t>BFS</w:t>
          </w:r>
        </w:p>
        <w:p w:rsidR="00BF03D6" w:rsidRPr="00A633C0" w:rsidRDefault="00BF03D6" w:rsidP="005868DA">
          <w:pPr>
            <w:pStyle w:val="Kopfzeile"/>
            <w:rPr>
              <w:rFonts w:ascii="Arial" w:hAnsi="Arial" w:cs="Arial"/>
              <w:sz w:val="20"/>
              <w:szCs w:val="20"/>
            </w:rPr>
          </w:pPr>
          <w:r w:rsidRPr="00A633C0">
            <w:rPr>
              <w:rFonts w:ascii="Arial" w:hAnsi="Arial" w:cs="Arial"/>
              <w:sz w:val="20"/>
              <w:szCs w:val="20"/>
            </w:rPr>
            <w:t>BS</w:t>
          </w:r>
        </w:p>
      </w:tc>
      <w:tc>
        <w:tcPr>
          <w:tcW w:w="1910" w:type="dxa"/>
          <w:shd w:val="clear" w:color="auto" w:fill="auto"/>
        </w:tcPr>
        <w:p w:rsidR="00BF03D6" w:rsidRPr="00A633C0" w:rsidRDefault="00BF03D6" w:rsidP="005868DA">
          <w:pPr>
            <w:pStyle w:val="Kopfzeile"/>
            <w:rPr>
              <w:rFonts w:ascii="Arial" w:hAnsi="Arial" w:cs="Arial"/>
              <w:sz w:val="20"/>
              <w:szCs w:val="20"/>
            </w:rPr>
          </w:pPr>
        </w:p>
        <w:p w:rsidR="00BF03D6" w:rsidRPr="00A633C0" w:rsidRDefault="00BF03D6" w:rsidP="005868DA">
          <w:pPr>
            <w:pStyle w:val="Kopfzeile"/>
            <w:rPr>
              <w:rFonts w:ascii="Arial" w:hAnsi="Arial" w:cs="Arial"/>
              <w:sz w:val="20"/>
              <w:szCs w:val="20"/>
            </w:rPr>
          </w:pPr>
          <w:r w:rsidRPr="00A633C0">
            <w:rPr>
              <w:rFonts w:ascii="Arial" w:hAnsi="Arial" w:cs="Arial"/>
              <w:sz w:val="20"/>
              <w:szCs w:val="20"/>
            </w:rPr>
            <w:t>Evangelische /</w:t>
          </w:r>
        </w:p>
        <w:p w:rsidR="00BF03D6" w:rsidRPr="00A633C0" w:rsidRDefault="00BF03D6" w:rsidP="005868DA">
          <w:pPr>
            <w:pStyle w:val="Kopfzeile"/>
            <w:rPr>
              <w:rFonts w:ascii="Arial" w:hAnsi="Arial" w:cs="Arial"/>
              <w:sz w:val="20"/>
              <w:szCs w:val="20"/>
            </w:rPr>
          </w:pPr>
          <w:r w:rsidRPr="00A633C0">
            <w:rPr>
              <w:rFonts w:ascii="Arial" w:hAnsi="Arial" w:cs="Arial"/>
              <w:sz w:val="20"/>
              <w:szCs w:val="20"/>
            </w:rPr>
            <w:t>Katholische</w:t>
          </w:r>
        </w:p>
        <w:p w:rsidR="00BF03D6" w:rsidRPr="00A633C0" w:rsidRDefault="00BF03D6" w:rsidP="005868DA">
          <w:pPr>
            <w:pStyle w:val="Kopfzeile"/>
            <w:rPr>
              <w:rFonts w:ascii="Arial" w:hAnsi="Arial" w:cs="Arial"/>
              <w:sz w:val="20"/>
              <w:szCs w:val="20"/>
            </w:rPr>
          </w:pPr>
          <w:r w:rsidRPr="00A633C0">
            <w:rPr>
              <w:rFonts w:ascii="Arial" w:hAnsi="Arial" w:cs="Arial"/>
              <w:sz w:val="20"/>
              <w:szCs w:val="20"/>
            </w:rPr>
            <w:t>Religion</w:t>
          </w:r>
        </w:p>
      </w:tc>
      <w:tc>
        <w:tcPr>
          <w:tcW w:w="3118" w:type="dxa"/>
          <w:shd w:val="clear" w:color="auto" w:fill="auto"/>
        </w:tcPr>
        <w:p w:rsidR="00BF03D6" w:rsidRPr="00A633C0" w:rsidRDefault="00BF03D6" w:rsidP="005868DA">
          <w:pPr>
            <w:pStyle w:val="Kopfzeile"/>
            <w:rPr>
              <w:rFonts w:ascii="Arial" w:hAnsi="Arial" w:cs="Arial"/>
              <w:sz w:val="20"/>
              <w:szCs w:val="20"/>
            </w:rPr>
          </w:pPr>
          <w:r w:rsidRPr="00A633C0">
            <w:rPr>
              <w:rFonts w:ascii="Arial" w:hAnsi="Arial" w:cs="Arial"/>
              <w:sz w:val="20"/>
              <w:szCs w:val="20"/>
            </w:rPr>
            <w:t>Lernsituation:</w:t>
          </w:r>
        </w:p>
        <w:p w:rsidR="00BF03D6" w:rsidRPr="00A633C0" w:rsidRDefault="00BF03D6" w:rsidP="005868DA">
          <w:pPr>
            <w:pStyle w:val="Kopfzeile"/>
            <w:rPr>
              <w:rFonts w:ascii="Arial" w:hAnsi="Arial" w:cs="Arial"/>
              <w:sz w:val="20"/>
              <w:szCs w:val="20"/>
            </w:rPr>
          </w:pPr>
          <w:r w:rsidRPr="00A633C0">
            <w:rPr>
              <w:rFonts w:ascii="Arial" w:hAnsi="Arial" w:cs="Arial"/>
              <w:sz w:val="20"/>
              <w:szCs w:val="20"/>
            </w:rPr>
            <w:t>Sterben, Leid und Hoffnung:</w:t>
          </w:r>
        </w:p>
        <w:p w:rsidR="00BF03D6" w:rsidRPr="00A633C0" w:rsidRDefault="00BF03D6" w:rsidP="005868DA">
          <w:pPr>
            <w:pStyle w:val="Kopfzeile"/>
            <w:rPr>
              <w:rFonts w:ascii="Arial" w:hAnsi="Arial" w:cs="Arial"/>
              <w:sz w:val="20"/>
              <w:szCs w:val="20"/>
            </w:rPr>
          </w:pPr>
          <w:r w:rsidRPr="00A633C0">
            <w:rPr>
              <w:rFonts w:ascii="Arial" w:hAnsi="Arial" w:cs="Arial"/>
              <w:sz w:val="20"/>
              <w:szCs w:val="20"/>
            </w:rPr>
            <w:t xml:space="preserve"> </w:t>
          </w:r>
        </w:p>
        <w:p w:rsidR="00BF03D6" w:rsidRPr="005A3B5C" w:rsidRDefault="00BF03D6" w:rsidP="005868DA">
          <w:pPr>
            <w:pStyle w:val="Kopfzeile"/>
            <w:rPr>
              <w:rFonts w:ascii="Arial" w:hAnsi="Arial" w:cs="Arial"/>
              <w:sz w:val="20"/>
              <w:szCs w:val="20"/>
            </w:rPr>
          </w:pPr>
          <w:r w:rsidRPr="00A633C0">
            <w:rPr>
              <w:rFonts w:ascii="Arial" w:hAnsi="Arial" w:cs="Arial"/>
              <w:b/>
              <w:sz w:val="20"/>
              <w:szCs w:val="20"/>
            </w:rPr>
            <w:t>Bestattungsarten</w:t>
          </w:r>
          <w:r w:rsidR="005A3B5C">
            <w:rPr>
              <w:rFonts w:ascii="Arial" w:hAnsi="Arial" w:cs="Arial"/>
              <w:b/>
              <w:sz w:val="20"/>
              <w:szCs w:val="20"/>
            </w:rPr>
            <w:t xml:space="preserve"> </w:t>
          </w:r>
          <w:r w:rsidR="005A3B5C">
            <w:rPr>
              <w:rFonts w:ascii="Arial" w:hAnsi="Arial" w:cs="Arial"/>
              <w:sz w:val="20"/>
              <w:szCs w:val="20"/>
            </w:rPr>
            <w:t>(Ablauf 2)</w:t>
          </w:r>
        </w:p>
        <w:p w:rsidR="00BF03D6" w:rsidRPr="00A633C0" w:rsidRDefault="00BF03D6" w:rsidP="005868DA">
          <w:pPr>
            <w:pStyle w:val="Kopfzeile"/>
            <w:rPr>
              <w:rFonts w:ascii="Arial" w:hAnsi="Arial" w:cs="Arial"/>
              <w:b/>
              <w:sz w:val="20"/>
              <w:szCs w:val="20"/>
            </w:rPr>
          </w:pPr>
        </w:p>
      </w:tc>
      <w:tc>
        <w:tcPr>
          <w:tcW w:w="3403" w:type="dxa"/>
          <w:vMerge w:val="restart"/>
          <w:shd w:val="clear" w:color="auto" w:fill="auto"/>
        </w:tcPr>
        <w:p w:rsidR="00BF03D6" w:rsidRPr="001B1C78" w:rsidRDefault="00BF03D6" w:rsidP="005868DA">
          <w:pPr>
            <w:rPr>
              <w:rFonts w:ascii="Arial" w:hAnsi="Arial" w:cs="Arial"/>
            </w:rPr>
          </w:pPr>
          <w:r>
            <w:rPr>
              <w:noProof/>
              <w:lang w:eastAsia="de-DE"/>
            </w:rPr>
            <mc:AlternateContent>
              <mc:Choice Requires="wps">
                <w:drawing>
                  <wp:anchor distT="0" distB="0" distL="114300" distR="114300" simplePos="0" relativeHeight="251659264" behindDoc="0" locked="0" layoutInCell="1" allowOverlap="1">
                    <wp:simplePos x="0" y="0"/>
                    <wp:positionH relativeFrom="column">
                      <wp:posOffset>-60960</wp:posOffset>
                    </wp:positionH>
                    <wp:positionV relativeFrom="paragraph">
                      <wp:posOffset>36830</wp:posOffset>
                    </wp:positionV>
                    <wp:extent cx="2125345" cy="1114425"/>
                    <wp:effectExtent l="0" t="0" r="8255"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345"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03D6" w:rsidRDefault="00BF03D6" w:rsidP="00BF03D6">
                                <w:pPr>
                                  <w:pStyle w:val="KeinLeerraum"/>
                                  <w:jc w:val="center"/>
                                  <w:rPr>
                                    <w:rFonts w:ascii="Arial" w:hAnsi="Arial" w:cs="Arial"/>
                                    <w:sz w:val="12"/>
                                    <w:szCs w:val="12"/>
                                  </w:rPr>
                                </w:pPr>
                                <w:r>
                                  <w:rPr>
                                    <w:noProof/>
                                    <w:lang w:eastAsia="de-DE"/>
                                  </w:rPr>
                                  <w:drawing>
                                    <wp:inline distT="0" distB="0" distL="0" distR="0" wp14:anchorId="54A00EF9" wp14:editId="1B6B3B81">
                                      <wp:extent cx="1268569" cy="807271"/>
                                      <wp:effectExtent l="0" t="0" r="0" b="0"/>
                                      <wp:docPr id="5" name="Grafik 5" descr="http://upload.wikimedia.org/wikipedia/commons/6/62/Friedhof_Wei%C3%9Fig.JPG?uselang=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6/62/Friedhof_Wei%C3%9Fig.JPG?uselang=de"/>
                                              <pic:cNvPicPr>
                                                <a:picLocks noChangeAspect="1" noChangeArrowheads="1"/>
                                              </pic:cNvPicPr>
                                            </pic:nvPicPr>
                                            <pic:blipFill>
                                              <a:blip r:embed="rId1">
                                                <a:extLst>
                                                  <a:ext uri="{BEBA8EAE-BF5A-486C-A8C5-ECC9F3942E4B}">
                                                    <a14:imgProps xmlns:a14="http://schemas.microsoft.com/office/drawing/2010/main">
                                                      <a14:imgLayer r:embed="rId2">
                                                        <a14:imgEffect>
                                                          <a14:artisticPaintStrokes/>
                                                        </a14:imgEffect>
                                                      </a14:imgLayer>
                                                    </a14:imgProps>
                                                  </a:ext>
                                                  <a:ext uri="{28A0092B-C50C-407E-A947-70E740481C1C}">
                                                    <a14:useLocalDpi xmlns:a14="http://schemas.microsoft.com/office/drawing/2010/main" val="0"/>
                                                  </a:ext>
                                                </a:extLst>
                                              </a:blip>
                                              <a:srcRect/>
                                              <a:stretch>
                                                <a:fillRect/>
                                              </a:stretch>
                                            </pic:blipFill>
                                            <pic:spPr bwMode="auto">
                                              <a:xfrm>
                                                <a:off x="0" y="0"/>
                                                <a:ext cx="1297229" cy="825509"/>
                                              </a:xfrm>
                                              <a:prstGeom prst="rect">
                                                <a:avLst/>
                                              </a:prstGeom>
                                              <a:ln>
                                                <a:noFill/>
                                              </a:ln>
                                              <a:effectLst>
                                                <a:softEdge rad="112500"/>
                                              </a:effectLst>
                                            </pic:spPr>
                                          </pic:pic>
                                        </a:graphicData>
                                      </a:graphic>
                                    </wp:inline>
                                  </w:drawing>
                                </w:r>
                                <w:r w:rsidRPr="001B1C78">
                                  <w:rPr>
                                    <w:rFonts w:ascii="Arial" w:hAnsi="Arial" w:cs="Arial"/>
                                    <w:sz w:val="12"/>
                                    <w:szCs w:val="12"/>
                                  </w:rPr>
                                  <w:t>http://upload.wikimedia.org/wikipedia/commons/6/62/</w:t>
                                </w:r>
                              </w:p>
                              <w:p w:rsidR="00BF03D6" w:rsidRPr="001B1C78" w:rsidRDefault="00BF03D6" w:rsidP="00BF03D6">
                                <w:pPr>
                                  <w:pStyle w:val="KeinLeerraum"/>
                                  <w:jc w:val="center"/>
                                  <w:rPr>
                                    <w:rFonts w:ascii="Arial" w:hAnsi="Arial" w:cs="Arial"/>
                                    <w:sz w:val="12"/>
                                    <w:szCs w:val="12"/>
                                  </w:rPr>
                                </w:pPr>
                                <w:r w:rsidRPr="001B1C78">
                                  <w:rPr>
                                    <w:rFonts w:ascii="Arial" w:hAnsi="Arial" w:cs="Arial"/>
                                    <w:sz w:val="12"/>
                                    <w:szCs w:val="12"/>
                                  </w:rPr>
                                  <w:t>Friedhof_Wei%C3%9Fig.JPG?uselang=de</w:t>
                                </w:r>
                              </w:p>
                              <w:p w:rsidR="00BF03D6" w:rsidRDefault="00BF03D6" w:rsidP="00BF03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8pt;margin-top:2.9pt;width:167.35pt;height:8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fRFgwIAABAFAAAOAAAAZHJzL2Uyb0RvYy54bWysVNuO2yAQfa/Uf0C8J77UycbWOqu9NFWl&#10;7UXa7QcQwDEqBgok9rbqv3fASda9PFRV/YAZGA5n5sxweTV0Eh24dUKrGmfzFCOuqGZC7Wr86XEz&#10;W2HkPFGMSK14jZ+4w1frly8ue1PxXLdaMm4RgChX9abGrfemShJHW94RN9eGK9hstO2IB9PuEmZJ&#10;D+idTPI0XSa9tsxYTblzsHo3buJ1xG8aTv2HpnHcI1lj4ObjaOO4DWOyviTVzhLTCnqkQf6BRUeE&#10;gkvPUHfEE7S34jeoTlCrnW78nOou0U0jKI8xQDRZ+ks0Dy0xPMYCyXHmnCb3/2Dp+8NHiwQD7TBS&#10;pAOJHvng0Y0eUBay0xtXgdODATc/wHLwDJE6c6/pZ4eUvm2J2vFra3XfcsKAXTyZTI6OOC6AbPt3&#10;msE1ZO91BBoa2wVASAYCdFDp6axMoEJhMc/yxatigRGFvSzLiiJfBHYJqU7HjXX+DdcdCpMaW5A+&#10;wpPDvfOj68kl0tdSsI2QMhp2t72VFh0IlMkmfkd0N3WTKjgrHY6NiOMKsIQ7wl7gG2X/VmZ5kd7k&#10;5WyzXF3Mik2xmJUX6WqWZuVNuUyLsrjbfA8Es6JqBWNc3QvFTyWYFX8n8bEZxuKJRYj6GpcLyE6M&#10;a8reTYNM4/enIDvhoSOl6Gq8OjuRKij7WjEIm1SeCDnOk5/pR0EgB6d/zEqsgyD9WAR+2A6AEopj&#10;q9kTVITVoBfIDs8ITFptv2LUQ0vW2H3ZE8sxkm8VVFUJsocejkaxuMjBsNOd7XSHKApQNfYYjdNb&#10;P/b93lixa+GmsY6VvoZKbESskWdWEEIwoO1iMMcnIvT11I5ezw/Z+gcAAAD//wMAUEsDBBQABgAI&#10;AAAAIQButfHK3QAAAAgBAAAPAAAAZHJzL2Rvd25yZXYueG1sTI9BbsIwEEX3lXoHayp1U4ETaAKE&#10;OKit1KpbKAeYxCaJiMdRbEi4faershz9pz/v57vJduJqBt86UhDPIxCGKqdbqhUcfz5naxA+IGns&#10;HBkFN+NhVzw+5JhpN9LeXA+hFlxCPkMFTQh9JqWvGmPRz11viLOTGywGPoda6gFHLredXERRKi22&#10;xB8a7M1HY6rz4WIVnL7Hl2Qzll/huNq/pu/Yrkp3U+r5aXrbgghmCv8w/OmzOhTsVLoLaS86BbNN&#10;yqSChAdwvFwkMYiSuXW8BFnk8n5A8QsAAP//AwBQSwECLQAUAAYACAAAACEAtoM4kv4AAADhAQAA&#10;EwAAAAAAAAAAAAAAAAAAAAAAW0NvbnRlbnRfVHlwZXNdLnhtbFBLAQItABQABgAIAAAAIQA4/SH/&#10;1gAAAJQBAAALAAAAAAAAAAAAAAAAAC8BAABfcmVscy8ucmVsc1BLAQItABQABgAIAAAAIQAHYfRF&#10;gwIAABAFAAAOAAAAAAAAAAAAAAAAAC4CAABkcnMvZTJvRG9jLnhtbFBLAQItABQABgAIAAAAIQBu&#10;tfHK3QAAAAgBAAAPAAAAAAAAAAAAAAAAAN0EAABkcnMvZG93bnJldi54bWxQSwUGAAAAAAQABADz&#10;AAAA5wUAAAAA&#10;" stroked="f">
                    <v:textbox>
                      <w:txbxContent>
                        <w:p w:rsidR="00BF03D6" w:rsidRDefault="00BF03D6" w:rsidP="00BF03D6">
                          <w:pPr>
                            <w:pStyle w:val="KeinLeerraum"/>
                            <w:jc w:val="center"/>
                            <w:rPr>
                              <w:rFonts w:ascii="Arial" w:hAnsi="Arial" w:cs="Arial"/>
                              <w:sz w:val="12"/>
                              <w:szCs w:val="12"/>
                            </w:rPr>
                          </w:pPr>
                          <w:r>
                            <w:rPr>
                              <w:noProof/>
                              <w:lang w:eastAsia="de-DE"/>
                            </w:rPr>
                            <w:drawing>
                              <wp:inline distT="0" distB="0" distL="0" distR="0" wp14:anchorId="54A00EF9" wp14:editId="1B6B3B81">
                                <wp:extent cx="1268569" cy="807271"/>
                                <wp:effectExtent l="0" t="0" r="0" b="0"/>
                                <wp:docPr id="5" name="Grafik 5" descr="http://upload.wikimedia.org/wikipedia/commons/6/62/Friedhof_Wei%C3%9Fig.JPG?uselang=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6/62/Friedhof_Wei%C3%9Fig.JPG?uselang=de"/>
                                        <pic:cNvPicPr>
                                          <a:picLocks noChangeAspect="1" noChangeArrowheads="1"/>
                                        </pic:cNvPicPr>
                                      </pic:nvPicPr>
                                      <pic:blipFill>
                                        <a:blip r:embed="rId3">
                                          <a:extLst>
                                            <a:ext uri="{BEBA8EAE-BF5A-486C-A8C5-ECC9F3942E4B}">
                                              <a14:imgProps xmlns:a14="http://schemas.microsoft.com/office/drawing/2010/main">
                                                <a14:imgLayer r:embed="rId4">
                                                  <a14:imgEffect>
                                                    <a14:artisticPaintStrokes/>
                                                  </a14:imgEffect>
                                                </a14:imgLayer>
                                              </a14:imgProps>
                                            </a:ext>
                                            <a:ext uri="{28A0092B-C50C-407E-A947-70E740481C1C}">
                                              <a14:useLocalDpi xmlns:a14="http://schemas.microsoft.com/office/drawing/2010/main" val="0"/>
                                            </a:ext>
                                          </a:extLst>
                                        </a:blip>
                                        <a:srcRect/>
                                        <a:stretch>
                                          <a:fillRect/>
                                        </a:stretch>
                                      </pic:blipFill>
                                      <pic:spPr bwMode="auto">
                                        <a:xfrm>
                                          <a:off x="0" y="0"/>
                                          <a:ext cx="1297229" cy="825509"/>
                                        </a:xfrm>
                                        <a:prstGeom prst="rect">
                                          <a:avLst/>
                                        </a:prstGeom>
                                        <a:ln>
                                          <a:noFill/>
                                        </a:ln>
                                        <a:effectLst>
                                          <a:softEdge rad="112500"/>
                                        </a:effectLst>
                                      </pic:spPr>
                                    </pic:pic>
                                  </a:graphicData>
                                </a:graphic>
                              </wp:inline>
                            </w:drawing>
                          </w:r>
                          <w:r w:rsidRPr="001B1C78">
                            <w:rPr>
                              <w:rFonts w:ascii="Arial" w:hAnsi="Arial" w:cs="Arial"/>
                              <w:sz w:val="12"/>
                              <w:szCs w:val="12"/>
                            </w:rPr>
                            <w:t>http://upload.wikimedia.org/wikipedia/commons/6/62/</w:t>
                          </w:r>
                        </w:p>
                        <w:p w:rsidR="00BF03D6" w:rsidRPr="001B1C78" w:rsidRDefault="00BF03D6" w:rsidP="00BF03D6">
                          <w:pPr>
                            <w:pStyle w:val="KeinLeerraum"/>
                            <w:jc w:val="center"/>
                            <w:rPr>
                              <w:rFonts w:ascii="Arial" w:hAnsi="Arial" w:cs="Arial"/>
                              <w:sz w:val="12"/>
                              <w:szCs w:val="12"/>
                            </w:rPr>
                          </w:pPr>
                          <w:r w:rsidRPr="001B1C78">
                            <w:rPr>
                              <w:rFonts w:ascii="Arial" w:hAnsi="Arial" w:cs="Arial"/>
                              <w:sz w:val="12"/>
                              <w:szCs w:val="12"/>
                            </w:rPr>
                            <w:t>Friedhof_Wei%C3%9Fig.JPG?uselang=de</w:t>
                          </w:r>
                        </w:p>
                        <w:p w:rsidR="00BF03D6" w:rsidRDefault="00BF03D6" w:rsidP="00BF03D6"/>
                      </w:txbxContent>
                    </v:textbox>
                  </v:shape>
                </w:pict>
              </mc:Fallback>
            </mc:AlternateContent>
          </w:r>
        </w:p>
      </w:tc>
    </w:tr>
    <w:tr w:rsidR="00BF03D6" w:rsidRPr="00BF076F" w:rsidTr="005868DA">
      <w:trPr>
        <w:trHeight w:val="295"/>
      </w:trPr>
      <w:tc>
        <w:tcPr>
          <w:tcW w:w="3227" w:type="dxa"/>
          <w:gridSpan w:val="2"/>
          <w:shd w:val="clear" w:color="auto" w:fill="auto"/>
        </w:tcPr>
        <w:p w:rsidR="00BF03D6" w:rsidRPr="00A633C0" w:rsidRDefault="00BF03D6" w:rsidP="005868DA">
          <w:pPr>
            <w:pStyle w:val="Kopfzeile"/>
            <w:rPr>
              <w:rFonts w:ascii="Arial" w:hAnsi="Arial" w:cs="Arial"/>
              <w:b/>
              <w:sz w:val="20"/>
              <w:szCs w:val="20"/>
            </w:rPr>
          </w:pPr>
        </w:p>
        <w:p w:rsidR="00BF03D6" w:rsidRPr="00A633C0" w:rsidRDefault="00BF03D6" w:rsidP="005868DA">
          <w:pPr>
            <w:pStyle w:val="Kopfzeile"/>
            <w:rPr>
              <w:rFonts w:ascii="Arial" w:hAnsi="Arial" w:cs="Arial"/>
              <w:b/>
              <w:sz w:val="20"/>
              <w:szCs w:val="20"/>
            </w:rPr>
          </w:pPr>
          <w:r w:rsidRPr="006B798B">
            <w:rPr>
              <w:rFonts w:ascii="Arial" w:hAnsi="Arial" w:cs="Arial"/>
              <w:sz w:val="20"/>
              <w:szCs w:val="20"/>
            </w:rPr>
            <w:t>Niveaustufe 3</w:t>
          </w:r>
        </w:p>
        <w:p w:rsidR="00BF03D6" w:rsidRPr="00A633C0" w:rsidRDefault="00BF03D6" w:rsidP="005868DA">
          <w:pPr>
            <w:pStyle w:val="Kopfzeile"/>
            <w:rPr>
              <w:rFonts w:ascii="Arial" w:hAnsi="Arial" w:cs="Arial"/>
              <w:b/>
              <w:iCs/>
              <w:sz w:val="20"/>
              <w:szCs w:val="20"/>
            </w:rPr>
          </w:pPr>
        </w:p>
      </w:tc>
      <w:tc>
        <w:tcPr>
          <w:tcW w:w="3118" w:type="dxa"/>
          <w:shd w:val="clear" w:color="auto" w:fill="auto"/>
        </w:tcPr>
        <w:p w:rsidR="00BF03D6" w:rsidRPr="00A633C0" w:rsidRDefault="00BF03D6" w:rsidP="005868DA">
          <w:pPr>
            <w:pStyle w:val="Kopfzeile"/>
            <w:rPr>
              <w:rFonts w:ascii="Arial" w:hAnsi="Arial" w:cs="Arial"/>
              <w:b/>
              <w:sz w:val="20"/>
              <w:szCs w:val="20"/>
            </w:rPr>
          </w:pPr>
        </w:p>
        <w:p w:rsidR="00BF03D6" w:rsidRDefault="00BF03D6" w:rsidP="005868DA">
          <w:pPr>
            <w:pStyle w:val="Kopfzeile"/>
            <w:rPr>
              <w:rFonts w:ascii="Arial" w:hAnsi="Arial" w:cs="Arial"/>
              <w:sz w:val="20"/>
              <w:szCs w:val="20"/>
            </w:rPr>
          </w:pPr>
          <w:r>
            <w:rPr>
              <w:rFonts w:ascii="Arial" w:hAnsi="Arial" w:cs="Arial"/>
              <w:sz w:val="20"/>
              <w:szCs w:val="20"/>
            </w:rPr>
            <w:t>M03b2</w:t>
          </w:r>
          <w:r w:rsidRPr="006B798B">
            <w:rPr>
              <w:rFonts w:ascii="Arial" w:hAnsi="Arial" w:cs="Arial"/>
              <w:sz w:val="20"/>
              <w:szCs w:val="20"/>
            </w:rPr>
            <w:t>_</w:t>
          </w:r>
          <w:r>
            <w:rPr>
              <w:rFonts w:ascii="Arial" w:hAnsi="Arial" w:cs="Arial"/>
              <w:sz w:val="20"/>
              <w:szCs w:val="20"/>
            </w:rPr>
            <w:t>Information_Station2_</w:t>
          </w:r>
        </w:p>
        <w:p w:rsidR="00BF03D6" w:rsidRPr="006B798B" w:rsidRDefault="00BF03D6" w:rsidP="005868DA">
          <w:pPr>
            <w:pStyle w:val="Kopfzeile"/>
            <w:rPr>
              <w:rFonts w:ascii="Arial" w:hAnsi="Arial" w:cs="Arial"/>
              <w:sz w:val="20"/>
              <w:szCs w:val="20"/>
            </w:rPr>
          </w:pPr>
          <w:r>
            <w:rPr>
              <w:rFonts w:ascii="Arial" w:hAnsi="Arial" w:cs="Arial"/>
              <w:sz w:val="20"/>
              <w:szCs w:val="20"/>
            </w:rPr>
            <w:t>Judentum</w:t>
          </w:r>
        </w:p>
      </w:tc>
      <w:tc>
        <w:tcPr>
          <w:tcW w:w="3403" w:type="dxa"/>
          <w:vMerge/>
          <w:shd w:val="clear" w:color="auto" w:fill="auto"/>
        </w:tcPr>
        <w:p w:rsidR="00BF03D6" w:rsidRPr="00BF076F" w:rsidRDefault="00BF03D6" w:rsidP="005868DA">
          <w:pPr>
            <w:pStyle w:val="Kopfzeile"/>
            <w:rPr>
              <w:rFonts w:ascii="Arial" w:hAnsi="Arial" w:cs="Arial"/>
            </w:rPr>
          </w:pPr>
        </w:p>
      </w:tc>
    </w:tr>
  </w:tbl>
  <w:p w:rsidR="00BF03D6" w:rsidRPr="005A3B5C" w:rsidRDefault="00BF03D6" w:rsidP="00BF03D6">
    <w:pPr>
      <w:rPr>
        <w:b/>
      </w:rPr>
    </w:pPr>
  </w:p>
  <w:p w:rsidR="00BF03D6" w:rsidRDefault="00BF03D6">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B5C" w:rsidRDefault="005A3B5C">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7390"/>
    <w:rsid w:val="00017CD8"/>
    <w:rsid w:val="0026671B"/>
    <w:rsid w:val="002A14F8"/>
    <w:rsid w:val="002B6B11"/>
    <w:rsid w:val="00335AD7"/>
    <w:rsid w:val="003558E9"/>
    <w:rsid w:val="00376FE8"/>
    <w:rsid w:val="004316AC"/>
    <w:rsid w:val="004A17EA"/>
    <w:rsid w:val="004E1457"/>
    <w:rsid w:val="00534869"/>
    <w:rsid w:val="00553622"/>
    <w:rsid w:val="005A3B5C"/>
    <w:rsid w:val="0069690A"/>
    <w:rsid w:val="00705540"/>
    <w:rsid w:val="00793A79"/>
    <w:rsid w:val="007F783B"/>
    <w:rsid w:val="00802D5B"/>
    <w:rsid w:val="00895816"/>
    <w:rsid w:val="008F62E7"/>
    <w:rsid w:val="00962DA9"/>
    <w:rsid w:val="009E17C5"/>
    <w:rsid w:val="00A11DC1"/>
    <w:rsid w:val="00AA52C3"/>
    <w:rsid w:val="00AB7390"/>
    <w:rsid w:val="00AE48EA"/>
    <w:rsid w:val="00B10D98"/>
    <w:rsid w:val="00BF03D6"/>
    <w:rsid w:val="00C21AD6"/>
    <w:rsid w:val="00D26262"/>
    <w:rsid w:val="00EC2FE9"/>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B739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7390"/>
    <w:rPr>
      <w:rFonts w:ascii="Tahoma" w:hAnsi="Tahoma" w:cs="Tahoma"/>
      <w:sz w:val="16"/>
      <w:szCs w:val="16"/>
    </w:rPr>
  </w:style>
  <w:style w:type="paragraph" w:styleId="KeinLeerraum">
    <w:name w:val="No Spacing"/>
    <w:uiPriority w:val="1"/>
    <w:qFormat/>
    <w:rsid w:val="00376FE8"/>
    <w:pPr>
      <w:spacing w:after="0" w:line="240" w:lineRule="auto"/>
    </w:pPr>
  </w:style>
  <w:style w:type="paragraph" w:styleId="Kopfzeile">
    <w:name w:val="header"/>
    <w:basedOn w:val="Standard"/>
    <w:link w:val="KopfzeileZchn"/>
    <w:rsid w:val="00705540"/>
    <w:pPr>
      <w:tabs>
        <w:tab w:val="center" w:pos="4536"/>
        <w:tab w:val="right" w:pos="9072"/>
      </w:tabs>
      <w:spacing w:after="0" w:line="240" w:lineRule="auto"/>
    </w:pPr>
    <w:rPr>
      <w:rFonts w:ascii="Times New Roman" w:eastAsia="Times New Roman" w:hAnsi="Times New Roman" w:cs="Times New Roman"/>
      <w:sz w:val="24"/>
      <w:szCs w:val="24"/>
      <w:lang w:eastAsia="de-DE"/>
    </w:rPr>
  </w:style>
  <w:style w:type="character" w:customStyle="1" w:styleId="KopfzeileZchn">
    <w:name w:val="Kopfzeile Zchn"/>
    <w:basedOn w:val="Absatz-Standardschriftart"/>
    <w:link w:val="Kopfzeile"/>
    <w:rsid w:val="00705540"/>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BF03D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F03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B739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7390"/>
    <w:rPr>
      <w:rFonts w:ascii="Tahoma" w:hAnsi="Tahoma" w:cs="Tahoma"/>
      <w:sz w:val="16"/>
      <w:szCs w:val="16"/>
    </w:rPr>
  </w:style>
  <w:style w:type="paragraph" w:styleId="KeinLeerraum">
    <w:name w:val="No Spacing"/>
    <w:uiPriority w:val="1"/>
    <w:qFormat/>
    <w:rsid w:val="00376FE8"/>
    <w:pPr>
      <w:spacing w:after="0" w:line="240" w:lineRule="auto"/>
    </w:pPr>
  </w:style>
  <w:style w:type="paragraph" w:styleId="Kopfzeile">
    <w:name w:val="header"/>
    <w:basedOn w:val="Standard"/>
    <w:link w:val="KopfzeileZchn"/>
    <w:rsid w:val="00705540"/>
    <w:pPr>
      <w:tabs>
        <w:tab w:val="center" w:pos="4536"/>
        <w:tab w:val="right" w:pos="9072"/>
      </w:tabs>
      <w:spacing w:after="0" w:line="240" w:lineRule="auto"/>
    </w:pPr>
    <w:rPr>
      <w:rFonts w:ascii="Times New Roman" w:eastAsia="Times New Roman" w:hAnsi="Times New Roman" w:cs="Times New Roman"/>
      <w:sz w:val="24"/>
      <w:szCs w:val="24"/>
      <w:lang w:eastAsia="de-DE"/>
    </w:rPr>
  </w:style>
  <w:style w:type="character" w:customStyle="1" w:styleId="KopfzeileZchn">
    <w:name w:val="Kopfzeile Zchn"/>
    <w:basedOn w:val="Absatz-Standardschriftart"/>
    <w:link w:val="Kopfzeile"/>
    <w:rsid w:val="00705540"/>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BF03D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F03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10.jpeg"/><Relationship Id="rId2" Type="http://schemas.microsoft.com/office/2007/relationships/hdphoto" Target="media/hdphoto1.wdp"/><Relationship Id="rId1" Type="http://schemas.openxmlformats.org/officeDocument/2006/relationships/image" Target="media/image1.jpeg"/><Relationship Id="rId4" Type="http://schemas.microsoft.com/office/2007/relationships/hdphoto" Target="media/hdphoto10.wdp"/></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524</Words>
  <Characters>3303</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RS</cp:lastModifiedBy>
  <cp:revision>6</cp:revision>
  <dcterms:created xsi:type="dcterms:W3CDTF">2014-06-08T20:17:00Z</dcterms:created>
  <dcterms:modified xsi:type="dcterms:W3CDTF">2014-06-12T17:45:00Z</dcterms:modified>
</cp:coreProperties>
</file>